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EB775D">
      <w:pPr>
        <w:spacing w:line="240" w:lineRule="auto"/>
        <w:rPr>
          <w:rFonts w:hint="eastAsia" w:eastAsia="黑体"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eastAsia="黑体"/>
          <w:color w:val="000000" w:themeColor="text1"/>
          <w:kern w:val="2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eastAsia="黑体"/>
          <w:color w:val="000000" w:themeColor="text1"/>
          <w:kern w:val="2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8</w:t>
      </w:r>
    </w:p>
    <w:p w14:paraId="3DA653BE">
      <w:pPr>
        <w:spacing w:line="240" w:lineRule="auto"/>
        <w:rPr>
          <w:rFonts w:hint="eastAsia" w:eastAsia="黑体"/>
          <w:color w:val="000000" w:themeColor="text1"/>
          <w:kern w:val="2"/>
          <w:sz w:val="36"/>
          <w:szCs w:val="36"/>
          <w:lang w:val="en-US" w:eastAsia="zh-CN"/>
          <w14:textFill>
            <w14:solidFill>
              <w14:schemeClr w14:val="tx1"/>
            </w14:solidFill>
          </w14:textFill>
        </w:rPr>
      </w:pPr>
    </w:p>
    <w:p w14:paraId="584EE72D">
      <w:pPr>
        <w:widowControl w:val="0"/>
        <w:spacing w:line="240" w:lineRule="auto"/>
        <w:jc w:val="center"/>
        <w:rPr>
          <w:rFonts w:hint="eastAsia" w:ascii="方正小标宋简体" w:hAnsi="方正小标宋简体" w:eastAsia="方正小标宋简体" w:cs="方正小标宋简体"/>
          <w:color w:val="000000" w:themeColor="text1"/>
          <w:kern w:val="2"/>
          <w:sz w:val="36"/>
          <w:szCs w:val="36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kern w:val="2"/>
          <w:sz w:val="36"/>
          <w:szCs w:val="36"/>
          <w:lang w:eastAsia="zh-CN"/>
          <w14:textFill>
            <w14:solidFill>
              <w14:schemeClr w14:val="tx1"/>
            </w14:solidFill>
          </w14:textFill>
        </w:rPr>
        <w:t>（ 填写高校全称 ）</w:t>
      </w:r>
    </w:p>
    <w:p w14:paraId="6607929F">
      <w:pPr>
        <w:widowControl w:val="0"/>
        <w:spacing w:line="240" w:lineRule="auto"/>
        <w:jc w:val="center"/>
        <w:rPr>
          <w:rFonts w:hint="eastAsia" w:ascii="方正小标宋简体" w:hAnsi="方正小标宋简体" w:eastAsia="方正小标宋简体" w:cs="方正小标宋简体"/>
          <w:kern w:val="2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36"/>
          <w:szCs w:val="36"/>
          <w:lang w:eastAsia="zh-CN"/>
        </w:rPr>
        <w:t>江苏省高等学历继续教育规范办学承诺书</w:t>
      </w:r>
    </w:p>
    <w:p w14:paraId="148D1B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00" w:lineRule="exact"/>
        <w:ind w:firstLine="560" w:firstLineChars="200"/>
        <w:jc w:val="both"/>
        <w:textAlignment w:val="auto"/>
        <w:rPr>
          <w:rFonts w:eastAsia="仿宋_GB2312"/>
          <w:sz w:val="28"/>
          <w:szCs w:val="28"/>
          <w:lang w:eastAsia="zh-CN"/>
        </w:rPr>
      </w:pPr>
    </w:p>
    <w:p w14:paraId="3FEB3A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00" w:lineRule="exact"/>
        <w:ind w:firstLine="560" w:firstLineChars="200"/>
        <w:jc w:val="both"/>
        <w:textAlignment w:val="auto"/>
        <w:rPr>
          <w:rFonts w:eastAsia="仿宋_GB2312"/>
          <w:sz w:val="28"/>
          <w:szCs w:val="28"/>
          <w:lang w:eastAsia="zh-CN"/>
        </w:rPr>
      </w:pPr>
      <w:r>
        <w:rPr>
          <w:rFonts w:eastAsia="仿宋_GB2312"/>
          <w:sz w:val="28"/>
          <w:szCs w:val="28"/>
          <w:lang w:eastAsia="zh-CN"/>
        </w:rPr>
        <w:t>主办高校是高等学历继续教育的办学主体。</w:t>
      </w:r>
      <w:r>
        <w:rPr>
          <w:rFonts w:hint="eastAsia" w:eastAsia="仿宋_GB2312"/>
          <w:sz w:val="28"/>
          <w:szCs w:val="28"/>
          <w:lang w:eastAsia="zh-CN"/>
        </w:rPr>
        <w:t>我校严格</w:t>
      </w:r>
      <w:r>
        <w:rPr>
          <w:rFonts w:eastAsia="仿宋_GB2312"/>
          <w:sz w:val="28"/>
          <w:szCs w:val="28"/>
          <w:lang w:eastAsia="zh-CN"/>
        </w:rPr>
        <w:t>遵守国家和省相关法律法规</w:t>
      </w:r>
      <w:r>
        <w:rPr>
          <w:rFonts w:hint="eastAsia" w:eastAsia="仿宋_GB2312"/>
          <w:sz w:val="28"/>
          <w:szCs w:val="28"/>
          <w:lang w:eastAsia="zh-CN"/>
        </w:rPr>
        <w:t>，</w:t>
      </w:r>
      <w:r>
        <w:rPr>
          <w:rFonts w:hint="eastAsia" w:eastAsia="仿宋_GB2312"/>
          <w:sz w:val="28"/>
          <w:szCs w:val="28"/>
          <w:lang w:val="en-US" w:eastAsia="zh-CN"/>
        </w:rPr>
        <w:t>遵循教育部和省关于高等学历继续教育的相关规定，</w:t>
      </w:r>
      <w:r>
        <w:rPr>
          <w:rFonts w:eastAsia="仿宋_GB2312"/>
          <w:sz w:val="28"/>
          <w:szCs w:val="28"/>
          <w:lang w:eastAsia="zh-CN"/>
        </w:rPr>
        <w:t>我校郑重承诺：</w:t>
      </w:r>
    </w:p>
    <w:p w14:paraId="7386870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400" w:lineRule="exact"/>
        <w:ind w:firstLine="560" w:firstLineChars="200"/>
        <w:jc w:val="both"/>
        <w:textAlignment w:val="auto"/>
        <w:rPr>
          <w:rFonts w:eastAsia="仿宋_GB2312"/>
          <w:sz w:val="28"/>
          <w:szCs w:val="28"/>
          <w:lang w:eastAsia="zh-CN"/>
        </w:rPr>
      </w:pPr>
      <w:r>
        <w:rPr>
          <w:rFonts w:ascii="Times New Roman" w:hAnsi="Times New Roman" w:eastAsia="仿宋_GB2312" w:cs="Times New Roman"/>
          <w:sz w:val="28"/>
          <w:szCs w:val="28"/>
          <w:lang w:val="en-US" w:eastAsia="zh-CN" w:bidi="ar-SA"/>
        </w:rPr>
        <w:t>1.</w:t>
      </w:r>
      <w:r>
        <w:rPr>
          <w:rFonts w:hint="eastAsia" w:eastAsia="仿宋_GB2312"/>
          <w:sz w:val="28"/>
          <w:szCs w:val="28"/>
          <w:lang w:val="en-US" w:eastAsia="zh-CN"/>
        </w:rPr>
        <w:t xml:space="preserve"> 我校</w:t>
      </w:r>
      <w:r>
        <w:rPr>
          <w:rFonts w:eastAsia="仿宋_GB2312"/>
          <w:sz w:val="28"/>
          <w:szCs w:val="28"/>
          <w:lang w:eastAsia="zh-CN"/>
        </w:rPr>
        <w:t>已确立高校党政主要领导作为继续教育第一责任人、分管校领导为主要责任人的领导体制，已将高</w:t>
      </w:r>
      <w:bookmarkStart w:id="0" w:name="_GoBack"/>
      <w:bookmarkEnd w:id="0"/>
      <w:r>
        <w:rPr>
          <w:rFonts w:eastAsia="仿宋_GB2312"/>
          <w:sz w:val="28"/>
          <w:szCs w:val="28"/>
          <w:lang w:eastAsia="zh-CN"/>
        </w:rPr>
        <w:t>等继续教育纳入学校整体发展规划和学校党委、行政议事日程，</w:t>
      </w:r>
      <w:r>
        <w:rPr>
          <w:rFonts w:hint="eastAsia" w:eastAsia="仿宋_GB2312"/>
          <w:sz w:val="28"/>
          <w:szCs w:val="28"/>
          <w:highlight w:val="none"/>
          <w:lang w:eastAsia="zh-CN"/>
        </w:rPr>
        <w:t>按照“管办分离”原则，明确归口管理部门和办学部门的职责分工，</w:t>
      </w:r>
      <w:r>
        <w:rPr>
          <w:rFonts w:eastAsia="仿宋_GB2312"/>
          <w:sz w:val="28"/>
          <w:szCs w:val="28"/>
          <w:lang w:eastAsia="zh-CN"/>
        </w:rPr>
        <w:t>认真落实办学主体责任。</w:t>
      </w:r>
    </w:p>
    <w:p w14:paraId="3F1DC168"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spacing w:line="400" w:lineRule="exact"/>
        <w:ind w:firstLine="560" w:firstLineChars="200"/>
        <w:jc w:val="both"/>
        <w:textAlignment w:val="auto"/>
        <w:rPr>
          <w:rFonts w:hint="eastAsia" w:eastAsia="仿宋_GB2312"/>
          <w:sz w:val="28"/>
          <w:szCs w:val="28"/>
          <w:lang w:eastAsia="zh-CN"/>
        </w:rPr>
      </w:pPr>
      <w:r>
        <w:rPr>
          <w:rFonts w:hint="eastAsia" w:eastAsia="仿宋_GB2312"/>
          <w:sz w:val="28"/>
          <w:szCs w:val="28"/>
          <w:lang w:val="en-US" w:eastAsia="zh-CN"/>
        </w:rPr>
        <w:t xml:space="preserve">2. </w:t>
      </w:r>
      <w:r>
        <w:rPr>
          <w:rFonts w:hint="eastAsia" w:eastAsia="仿宋_GB2312"/>
          <w:sz w:val="28"/>
          <w:szCs w:val="28"/>
          <w:lang w:val="en-US" w:eastAsia="zh-CN"/>
        </w:rPr>
        <w:t>进一步</w:t>
      </w:r>
      <w:r>
        <w:rPr>
          <w:rFonts w:eastAsia="仿宋_GB2312"/>
          <w:sz w:val="28"/>
          <w:szCs w:val="28"/>
          <w:lang w:eastAsia="zh-CN"/>
        </w:rPr>
        <w:t>规范</w:t>
      </w:r>
      <w:r>
        <w:rPr>
          <w:rFonts w:hint="eastAsia" w:eastAsia="仿宋_GB2312"/>
          <w:sz w:val="28"/>
          <w:szCs w:val="28"/>
          <w:lang w:val="en-US" w:eastAsia="zh-CN"/>
        </w:rPr>
        <w:t>高等学历继续教育</w:t>
      </w:r>
      <w:r>
        <w:rPr>
          <w:rFonts w:hint="eastAsia" w:eastAsia="仿宋_GB2312"/>
          <w:sz w:val="28"/>
          <w:szCs w:val="28"/>
          <w:lang w:val="en-US" w:eastAsia="zh-CN"/>
        </w:rPr>
        <w:t>办学</w:t>
      </w:r>
      <w:r>
        <w:rPr>
          <w:rFonts w:eastAsia="仿宋_GB2312"/>
          <w:sz w:val="28"/>
          <w:szCs w:val="28"/>
          <w:lang w:eastAsia="zh-CN"/>
        </w:rPr>
        <w:t>行为</w:t>
      </w:r>
      <w:r>
        <w:rPr>
          <w:rFonts w:hint="eastAsia" w:eastAsia="仿宋_GB2312"/>
          <w:sz w:val="28"/>
          <w:szCs w:val="28"/>
          <w:lang w:eastAsia="zh-CN"/>
        </w:rPr>
        <w:t>，科学合理设置站点，严格控制站点数量，严把设点单位资质，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对校外教学点进行规范备案，定期更新信息、排查风险，及时撤销不符合要求的校外教学点，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杜绝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“未备案站点”“点外点”等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违规</w:t>
      </w:r>
      <w:r>
        <w:rPr>
          <w:rFonts w:hint="eastAsia" w:eastAsia="仿宋_GB2312"/>
          <w:sz w:val="28"/>
          <w:szCs w:val="28"/>
          <w:lang w:val="en-US" w:eastAsia="zh-CN"/>
        </w:rPr>
        <w:t>办学行为，</w:t>
      </w:r>
      <w:r>
        <w:rPr>
          <w:rFonts w:hint="eastAsia" w:eastAsia="仿宋_GB2312"/>
          <w:sz w:val="28"/>
          <w:szCs w:val="28"/>
          <w:lang w:eastAsia="zh-CN"/>
        </w:rPr>
        <w:t>切实加强站点招生、教育教学、学籍和经费等规范管理。</w:t>
      </w:r>
      <w:r>
        <w:rPr>
          <w:rFonts w:hint="eastAsia" w:eastAsia="仿宋_GB2312"/>
          <w:sz w:val="28"/>
          <w:szCs w:val="28"/>
          <w:lang w:val="en-US" w:eastAsia="zh-CN"/>
        </w:rPr>
        <w:t>严格执行学生前置学历资格审查制度和学籍管理规定，保证所有学生学籍档案均由我校保管。</w:t>
      </w:r>
    </w:p>
    <w:p w14:paraId="00E01BD4"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spacing w:line="400" w:lineRule="exact"/>
        <w:ind w:firstLine="560" w:firstLineChars="200"/>
        <w:jc w:val="both"/>
        <w:textAlignment w:val="auto"/>
        <w:rPr>
          <w:rFonts w:hint="eastAsia" w:eastAsia="仿宋_GB2312"/>
          <w:sz w:val="28"/>
          <w:szCs w:val="28"/>
          <w:lang w:val="en-US" w:eastAsia="zh-CN"/>
        </w:rPr>
      </w:pPr>
      <w:r>
        <w:rPr>
          <w:rFonts w:hint="eastAsia" w:eastAsia="仿宋_GB2312"/>
          <w:sz w:val="28"/>
          <w:szCs w:val="28"/>
          <w:lang w:val="en-US" w:eastAsia="zh-CN"/>
        </w:rPr>
        <w:t xml:space="preserve">3. </w:t>
      </w:r>
      <w:r>
        <w:rPr>
          <w:rFonts w:hint="eastAsia" w:eastAsia="仿宋_GB2312"/>
          <w:sz w:val="28"/>
          <w:szCs w:val="28"/>
          <w:lang w:eastAsia="zh-CN"/>
        </w:rPr>
        <w:t>将继续教育纳入学校整体教学质量保障体系，明确教学目标、课程设置、师资力量等核心要求，确保教育过程的规范性和有效性；</w:t>
      </w:r>
      <w:r>
        <w:rPr>
          <w:rFonts w:hint="eastAsia" w:eastAsia="仿宋_GB2312"/>
          <w:sz w:val="28"/>
          <w:szCs w:val="28"/>
          <w:lang w:val="en-US" w:eastAsia="zh-CN"/>
        </w:rPr>
        <w:t>逐步</w:t>
      </w:r>
      <w:r>
        <w:rPr>
          <w:rFonts w:hint="eastAsia" w:eastAsia="仿宋_GB2312"/>
          <w:sz w:val="28"/>
          <w:szCs w:val="28"/>
          <w:lang w:val="en-US" w:eastAsia="zh-CN"/>
        </w:rPr>
        <w:t>构建学历继续教育巡课体系</w:t>
      </w:r>
      <w:r>
        <w:rPr>
          <w:rFonts w:hint="eastAsia" w:eastAsia="仿宋_GB2312"/>
          <w:sz w:val="28"/>
          <w:szCs w:val="28"/>
          <w:lang w:eastAsia="zh-CN"/>
        </w:rPr>
        <w:t>，通过动态监测、定期评估、持续改进，不断提升学历继续教育人才培养质量。</w:t>
      </w:r>
    </w:p>
    <w:p w14:paraId="3F0F28E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400" w:lineRule="exact"/>
        <w:ind w:firstLine="560" w:firstLineChars="200"/>
        <w:jc w:val="both"/>
        <w:textAlignment w:val="auto"/>
        <w:rPr>
          <w:rFonts w:eastAsia="仿宋_GB2312"/>
          <w:sz w:val="28"/>
          <w:szCs w:val="28"/>
          <w:lang w:eastAsia="zh-CN"/>
        </w:rPr>
      </w:pPr>
      <w:r>
        <w:rPr>
          <w:rFonts w:hint="eastAsia" w:eastAsia="仿宋_GB2312"/>
          <w:sz w:val="28"/>
          <w:szCs w:val="28"/>
          <w:lang w:val="en-US" w:eastAsia="zh-CN"/>
        </w:rPr>
        <w:t>我校保证本次备案材料真实有效，如有虚假瞒报行为</w:t>
      </w:r>
      <w:r>
        <w:rPr>
          <w:rFonts w:eastAsia="仿宋_GB2312"/>
          <w:sz w:val="28"/>
          <w:szCs w:val="28"/>
          <w:lang w:eastAsia="zh-CN"/>
        </w:rPr>
        <w:t>，一经查实，由我校承担责任和后果。</w:t>
      </w:r>
    </w:p>
    <w:p w14:paraId="16889543"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spacing w:line="400" w:lineRule="exact"/>
        <w:ind w:firstLine="560" w:firstLineChars="200"/>
        <w:jc w:val="both"/>
        <w:textAlignment w:val="auto"/>
        <w:rPr>
          <w:rFonts w:hint="default" w:eastAsia="仿宋_GB2312"/>
          <w:sz w:val="28"/>
          <w:szCs w:val="28"/>
          <w:lang w:val="en-US" w:eastAsia="zh-CN"/>
        </w:rPr>
      </w:pPr>
    </w:p>
    <w:p w14:paraId="75E2D6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00" w:lineRule="exact"/>
        <w:ind w:firstLine="560" w:firstLineChars="200"/>
        <w:jc w:val="both"/>
        <w:textAlignment w:val="auto"/>
        <w:rPr>
          <w:rFonts w:eastAsia="仿宋_GB2312"/>
          <w:sz w:val="28"/>
          <w:szCs w:val="28"/>
          <w:lang w:eastAsia="zh-CN"/>
        </w:rPr>
      </w:pPr>
    </w:p>
    <w:p w14:paraId="1A5C99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00" w:lineRule="exact"/>
        <w:ind w:right="1520"/>
        <w:jc w:val="right"/>
        <w:textAlignment w:val="auto"/>
        <w:rPr>
          <w:rFonts w:eastAsia="仿宋_GB2312"/>
          <w:kern w:val="2"/>
          <w:sz w:val="28"/>
          <w:szCs w:val="28"/>
          <w:lang w:eastAsia="zh-CN"/>
        </w:rPr>
      </w:pPr>
      <w:r>
        <w:rPr>
          <w:rFonts w:eastAsia="仿宋_GB2312"/>
          <w:kern w:val="2"/>
          <w:sz w:val="28"/>
          <w:szCs w:val="28"/>
          <w:lang w:eastAsia="zh-CN"/>
        </w:rPr>
        <w:t>（主办高校）分管校长签名：</w:t>
      </w:r>
    </w:p>
    <w:p w14:paraId="6D68FF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right="2400"/>
        <w:jc w:val="right"/>
        <w:textAlignment w:val="auto"/>
        <w:rPr>
          <w:rFonts w:eastAsia="仿宋_GB2312"/>
          <w:sz w:val="28"/>
          <w:szCs w:val="28"/>
          <w:lang w:eastAsia="zh-CN"/>
        </w:rPr>
      </w:pPr>
      <w:r>
        <w:rPr>
          <w:rFonts w:eastAsia="仿宋_GB2312"/>
          <w:sz w:val="28"/>
          <w:szCs w:val="28"/>
          <w:lang w:eastAsia="zh-CN"/>
        </w:rPr>
        <w:t>主办高校（公章）</w:t>
      </w:r>
    </w:p>
    <w:p w14:paraId="7030519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jc w:val="center"/>
        <w:textAlignment w:val="auto"/>
        <w:rPr>
          <w:rFonts w:eastAsia="仿宋_GB2312"/>
          <w:sz w:val="28"/>
          <w:szCs w:val="28"/>
          <w:lang w:eastAsia="zh-CN"/>
        </w:rPr>
      </w:pPr>
      <w:r>
        <w:rPr>
          <w:rFonts w:eastAsia="仿宋_GB2312"/>
          <w:sz w:val="28"/>
          <w:szCs w:val="28"/>
          <w:lang w:eastAsia="zh-CN"/>
        </w:rPr>
        <w:t xml:space="preserve">                       年  月  日</w:t>
      </w:r>
    </w:p>
    <w:sectPr>
      <w:footerReference r:id="rId3" w:type="default"/>
      <w:pgSz w:w="11906" w:h="16838"/>
      <w:pgMar w:top="1440" w:right="1800" w:bottom="1440" w:left="1800" w:header="851" w:footer="397" w:gutter="0"/>
      <w:cols w:space="425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Arial Unicode MS">
    <w:altName w:val="Malgun Gothic Semilight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085371365"/>
    </w:sdtPr>
    <w:sdtContent>
      <w:p w14:paraId="3B9402EB">
        <w:pPr>
          <w:pStyle w:val="4"/>
          <w:jc w:val="center"/>
          <w:rPr>
            <w:rFonts w:hint="eastAsia"/>
          </w:rPr>
        </w:pPr>
        <w:r>
          <w:t>1</w:t>
        </w:r>
      </w:p>
    </w:sdtContent>
  </w:sdt>
  <w:p w14:paraId="3840CF08">
    <w:pPr>
      <w:pStyle w:val="4"/>
      <w:rPr>
        <w:rFonts w:hint="eastAsia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5888AF2"/>
    <w:multiLevelType w:val="singleLevel"/>
    <w:tmpl w:val="F5888AF2"/>
    <w:lvl w:ilvl="0" w:tentative="0">
      <w:start w:val="4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5D2"/>
    <w:rsid w:val="00003EA8"/>
    <w:rsid w:val="0000658D"/>
    <w:rsid w:val="000673E6"/>
    <w:rsid w:val="00074550"/>
    <w:rsid w:val="00087BEA"/>
    <w:rsid w:val="000943B6"/>
    <w:rsid w:val="000C557A"/>
    <w:rsid w:val="000F519F"/>
    <w:rsid w:val="0010155B"/>
    <w:rsid w:val="001078DD"/>
    <w:rsid w:val="00136A53"/>
    <w:rsid w:val="001446FF"/>
    <w:rsid w:val="00164D04"/>
    <w:rsid w:val="001A2080"/>
    <w:rsid w:val="001C2495"/>
    <w:rsid w:val="001F326B"/>
    <w:rsid w:val="00202235"/>
    <w:rsid w:val="00213964"/>
    <w:rsid w:val="0024141F"/>
    <w:rsid w:val="00293143"/>
    <w:rsid w:val="00293DCF"/>
    <w:rsid w:val="002A48CE"/>
    <w:rsid w:val="002B1A9E"/>
    <w:rsid w:val="002D2ED2"/>
    <w:rsid w:val="002E788A"/>
    <w:rsid w:val="0030695A"/>
    <w:rsid w:val="00313C9F"/>
    <w:rsid w:val="0032015D"/>
    <w:rsid w:val="0032729D"/>
    <w:rsid w:val="003350D0"/>
    <w:rsid w:val="00341A5A"/>
    <w:rsid w:val="00360767"/>
    <w:rsid w:val="003679B4"/>
    <w:rsid w:val="003715CE"/>
    <w:rsid w:val="00381F92"/>
    <w:rsid w:val="00386F9C"/>
    <w:rsid w:val="0039358C"/>
    <w:rsid w:val="0039484B"/>
    <w:rsid w:val="00394EC5"/>
    <w:rsid w:val="003A1E83"/>
    <w:rsid w:val="003B5F3D"/>
    <w:rsid w:val="003D539A"/>
    <w:rsid w:val="003E28E8"/>
    <w:rsid w:val="00414E70"/>
    <w:rsid w:val="00432871"/>
    <w:rsid w:val="00432CDD"/>
    <w:rsid w:val="004410C4"/>
    <w:rsid w:val="00443D14"/>
    <w:rsid w:val="0047239F"/>
    <w:rsid w:val="00483D28"/>
    <w:rsid w:val="004863FD"/>
    <w:rsid w:val="00496FC6"/>
    <w:rsid w:val="004A278B"/>
    <w:rsid w:val="004B5807"/>
    <w:rsid w:val="004C2FEE"/>
    <w:rsid w:val="004D387D"/>
    <w:rsid w:val="004F372D"/>
    <w:rsid w:val="0051333A"/>
    <w:rsid w:val="0053782B"/>
    <w:rsid w:val="005448DF"/>
    <w:rsid w:val="00556959"/>
    <w:rsid w:val="00586530"/>
    <w:rsid w:val="005B0AE9"/>
    <w:rsid w:val="005C43FF"/>
    <w:rsid w:val="005E0C89"/>
    <w:rsid w:val="005E1485"/>
    <w:rsid w:val="005E6EB7"/>
    <w:rsid w:val="005F7DEA"/>
    <w:rsid w:val="00606D7C"/>
    <w:rsid w:val="00612285"/>
    <w:rsid w:val="00616F1B"/>
    <w:rsid w:val="00624D8C"/>
    <w:rsid w:val="00631D0B"/>
    <w:rsid w:val="00646882"/>
    <w:rsid w:val="006474C6"/>
    <w:rsid w:val="006540AD"/>
    <w:rsid w:val="00664D10"/>
    <w:rsid w:val="0066602A"/>
    <w:rsid w:val="0067707D"/>
    <w:rsid w:val="00683658"/>
    <w:rsid w:val="00695379"/>
    <w:rsid w:val="006B7ED2"/>
    <w:rsid w:val="006C4139"/>
    <w:rsid w:val="006E008C"/>
    <w:rsid w:val="006F33E7"/>
    <w:rsid w:val="007012B3"/>
    <w:rsid w:val="0073171C"/>
    <w:rsid w:val="00766A14"/>
    <w:rsid w:val="0077082A"/>
    <w:rsid w:val="007835ED"/>
    <w:rsid w:val="007D6DE5"/>
    <w:rsid w:val="008025E6"/>
    <w:rsid w:val="00806504"/>
    <w:rsid w:val="00815BD5"/>
    <w:rsid w:val="00820FE7"/>
    <w:rsid w:val="00832B8A"/>
    <w:rsid w:val="00842F2D"/>
    <w:rsid w:val="00870FBC"/>
    <w:rsid w:val="00875FBB"/>
    <w:rsid w:val="00891EC1"/>
    <w:rsid w:val="008A6D45"/>
    <w:rsid w:val="008B5D53"/>
    <w:rsid w:val="008C6797"/>
    <w:rsid w:val="008C7554"/>
    <w:rsid w:val="008F44BB"/>
    <w:rsid w:val="00901D5D"/>
    <w:rsid w:val="00905A07"/>
    <w:rsid w:val="009064A8"/>
    <w:rsid w:val="00907D40"/>
    <w:rsid w:val="0091630A"/>
    <w:rsid w:val="00921828"/>
    <w:rsid w:val="00923F14"/>
    <w:rsid w:val="009265D2"/>
    <w:rsid w:val="00933EF1"/>
    <w:rsid w:val="00952835"/>
    <w:rsid w:val="00963C95"/>
    <w:rsid w:val="009648AB"/>
    <w:rsid w:val="00967A26"/>
    <w:rsid w:val="0097140A"/>
    <w:rsid w:val="00980024"/>
    <w:rsid w:val="00997D13"/>
    <w:rsid w:val="00997D80"/>
    <w:rsid w:val="009A267F"/>
    <w:rsid w:val="009B7E60"/>
    <w:rsid w:val="009C4D6D"/>
    <w:rsid w:val="009D017B"/>
    <w:rsid w:val="009D0F7A"/>
    <w:rsid w:val="009D45F6"/>
    <w:rsid w:val="009D73B8"/>
    <w:rsid w:val="009E1252"/>
    <w:rsid w:val="009E3689"/>
    <w:rsid w:val="00A12FE5"/>
    <w:rsid w:val="00A360A9"/>
    <w:rsid w:val="00A402E7"/>
    <w:rsid w:val="00A43A31"/>
    <w:rsid w:val="00A47F54"/>
    <w:rsid w:val="00A505E7"/>
    <w:rsid w:val="00A80781"/>
    <w:rsid w:val="00A831E4"/>
    <w:rsid w:val="00AF231B"/>
    <w:rsid w:val="00B11A9C"/>
    <w:rsid w:val="00B33E85"/>
    <w:rsid w:val="00B355DF"/>
    <w:rsid w:val="00B636A8"/>
    <w:rsid w:val="00B730EA"/>
    <w:rsid w:val="00B76314"/>
    <w:rsid w:val="00BA215D"/>
    <w:rsid w:val="00BA6C60"/>
    <w:rsid w:val="00BB76A1"/>
    <w:rsid w:val="00BD6D34"/>
    <w:rsid w:val="00BE04F2"/>
    <w:rsid w:val="00C140CB"/>
    <w:rsid w:val="00C2649C"/>
    <w:rsid w:val="00C34AEE"/>
    <w:rsid w:val="00C3731F"/>
    <w:rsid w:val="00C40635"/>
    <w:rsid w:val="00C41503"/>
    <w:rsid w:val="00C447B6"/>
    <w:rsid w:val="00C74B06"/>
    <w:rsid w:val="00C9452A"/>
    <w:rsid w:val="00CA4A16"/>
    <w:rsid w:val="00CC090C"/>
    <w:rsid w:val="00CC14DD"/>
    <w:rsid w:val="00CF6280"/>
    <w:rsid w:val="00D16A31"/>
    <w:rsid w:val="00D30A97"/>
    <w:rsid w:val="00D41625"/>
    <w:rsid w:val="00D56EFC"/>
    <w:rsid w:val="00D72254"/>
    <w:rsid w:val="00D81168"/>
    <w:rsid w:val="00D83693"/>
    <w:rsid w:val="00D873CE"/>
    <w:rsid w:val="00D971AB"/>
    <w:rsid w:val="00DB5BAA"/>
    <w:rsid w:val="00DC145C"/>
    <w:rsid w:val="00DC6F6B"/>
    <w:rsid w:val="00DD4295"/>
    <w:rsid w:val="00DE461D"/>
    <w:rsid w:val="00DF654C"/>
    <w:rsid w:val="00E065DC"/>
    <w:rsid w:val="00E2273F"/>
    <w:rsid w:val="00E2760D"/>
    <w:rsid w:val="00E2793F"/>
    <w:rsid w:val="00E5379C"/>
    <w:rsid w:val="00E64209"/>
    <w:rsid w:val="00E67055"/>
    <w:rsid w:val="00EA08C8"/>
    <w:rsid w:val="00EB0B5F"/>
    <w:rsid w:val="00EC3A1D"/>
    <w:rsid w:val="00ED590A"/>
    <w:rsid w:val="00EE5597"/>
    <w:rsid w:val="00F023C8"/>
    <w:rsid w:val="00F03475"/>
    <w:rsid w:val="00F16522"/>
    <w:rsid w:val="00F33A69"/>
    <w:rsid w:val="00F40C76"/>
    <w:rsid w:val="00F46161"/>
    <w:rsid w:val="00F56A61"/>
    <w:rsid w:val="00F77353"/>
    <w:rsid w:val="00F84BB6"/>
    <w:rsid w:val="00FC56D2"/>
    <w:rsid w:val="00FD0B70"/>
    <w:rsid w:val="00FE1D72"/>
    <w:rsid w:val="00FE3592"/>
    <w:rsid w:val="00FE54AD"/>
    <w:rsid w:val="01B22E7D"/>
    <w:rsid w:val="01EF3980"/>
    <w:rsid w:val="05573D16"/>
    <w:rsid w:val="05C3315A"/>
    <w:rsid w:val="08275875"/>
    <w:rsid w:val="090C1DFE"/>
    <w:rsid w:val="0C6E4CD5"/>
    <w:rsid w:val="0D3F56F5"/>
    <w:rsid w:val="0E425AFA"/>
    <w:rsid w:val="10914580"/>
    <w:rsid w:val="12F2639A"/>
    <w:rsid w:val="198561B8"/>
    <w:rsid w:val="203023E8"/>
    <w:rsid w:val="203910D0"/>
    <w:rsid w:val="20522BB1"/>
    <w:rsid w:val="215676F1"/>
    <w:rsid w:val="222B1664"/>
    <w:rsid w:val="2A611C01"/>
    <w:rsid w:val="2AFE20CD"/>
    <w:rsid w:val="31FB691B"/>
    <w:rsid w:val="3603223C"/>
    <w:rsid w:val="365A237F"/>
    <w:rsid w:val="36A35040"/>
    <w:rsid w:val="3B825A36"/>
    <w:rsid w:val="3C720E3C"/>
    <w:rsid w:val="3CD95ADA"/>
    <w:rsid w:val="433C5D1E"/>
    <w:rsid w:val="452242DA"/>
    <w:rsid w:val="460E7403"/>
    <w:rsid w:val="478645F7"/>
    <w:rsid w:val="479F2786"/>
    <w:rsid w:val="48AC4449"/>
    <w:rsid w:val="4E4E519D"/>
    <w:rsid w:val="50B36B26"/>
    <w:rsid w:val="53531332"/>
    <w:rsid w:val="57ED7F1E"/>
    <w:rsid w:val="592F5CB1"/>
    <w:rsid w:val="63691275"/>
    <w:rsid w:val="6622651C"/>
    <w:rsid w:val="68A57CFF"/>
    <w:rsid w:val="694A4441"/>
    <w:rsid w:val="69D56401"/>
    <w:rsid w:val="69F73E8A"/>
    <w:rsid w:val="6F822DD7"/>
    <w:rsid w:val="718801FD"/>
    <w:rsid w:val="79200D1B"/>
    <w:rsid w:val="7AA0299A"/>
    <w:rsid w:val="7D823083"/>
    <w:rsid w:val="7E7C2E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sz w:val="24"/>
      <w:szCs w:val="24"/>
      <w:lang w:val="en-US" w:eastAsia="en-US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8"/>
    <w:semiHidden/>
    <w:unhideWhenUsed/>
    <w:qFormat/>
    <w:uiPriority w:val="99"/>
  </w:style>
  <w:style w:type="paragraph" w:styleId="3">
    <w:name w:val="Balloon Text"/>
    <w:basedOn w:val="1"/>
    <w:link w:val="15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widowControl w:val="0"/>
      <w:tabs>
        <w:tab w:val="center" w:pos="4153"/>
        <w:tab w:val="right" w:pos="8306"/>
      </w:tabs>
      <w:snapToGrid w:val="0"/>
    </w:pPr>
    <w:rPr>
      <w:rFonts w:asciiTheme="minorHAnsi" w:hAnsiTheme="minorHAnsi" w:eastAsiaTheme="minorEastAsia" w:cstheme="minorBidi"/>
      <w:kern w:val="2"/>
      <w:sz w:val="18"/>
      <w:szCs w:val="18"/>
      <w:lang w:eastAsia="zh-CN"/>
    </w:rPr>
  </w:style>
  <w:style w:type="paragraph" w:styleId="5">
    <w:name w:val="header"/>
    <w:basedOn w:val="1"/>
    <w:link w:val="1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0"/>
    <w:pPr>
      <w:spacing w:before="100" w:beforeAutospacing="1" w:after="100" w:afterAutospacing="1"/>
    </w:pPr>
    <w:rPr>
      <w:rFonts w:ascii="宋体" w:hAnsi="宋体" w:cs="宋体"/>
      <w:lang w:eastAsia="zh-CN"/>
    </w:rPr>
  </w:style>
  <w:style w:type="paragraph" w:styleId="7">
    <w:name w:val="annotation subject"/>
    <w:basedOn w:val="2"/>
    <w:next w:val="2"/>
    <w:link w:val="19"/>
    <w:semiHidden/>
    <w:unhideWhenUsed/>
    <w:qFormat/>
    <w:uiPriority w:val="99"/>
    <w:rPr>
      <w:b/>
      <w:bCs/>
    </w:rPr>
  </w:style>
  <w:style w:type="character" w:styleId="10">
    <w:name w:val="annotation reference"/>
    <w:basedOn w:val="9"/>
    <w:semiHidden/>
    <w:unhideWhenUsed/>
    <w:qFormat/>
    <w:uiPriority w:val="99"/>
    <w:rPr>
      <w:sz w:val="21"/>
      <w:szCs w:val="21"/>
    </w:rPr>
  </w:style>
  <w:style w:type="character" w:customStyle="1" w:styleId="11">
    <w:name w:val="页脚 字符"/>
    <w:basedOn w:val="9"/>
    <w:link w:val="4"/>
    <w:qFormat/>
    <w:uiPriority w:val="99"/>
    <w:rPr>
      <w:sz w:val="18"/>
      <w:szCs w:val="18"/>
    </w:rPr>
  </w:style>
  <w:style w:type="paragraph" w:customStyle="1" w:styleId="12">
    <w:name w:val="正文1"/>
    <w:qFormat/>
    <w:uiPriority w:val="0"/>
    <w:rPr>
      <w:rFonts w:ascii="Helvetica" w:hAnsi="Helvetica" w:eastAsia="Arial Unicode MS" w:cs="Arial Unicode MS"/>
      <w:color w:val="000000"/>
      <w:sz w:val="22"/>
      <w:szCs w:val="22"/>
      <w:lang w:val="en-US" w:eastAsia="zh-CN" w:bidi="ar-SA"/>
    </w:rPr>
  </w:style>
  <w:style w:type="paragraph" w:customStyle="1" w:styleId="13">
    <w:name w:val="默认"/>
    <w:qFormat/>
    <w:uiPriority w:val="0"/>
    <w:rPr>
      <w:rFonts w:ascii="Arial Unicode MS" w:hAnsi="Arial Unicode MS" w:eastAsia="Helvetica" w:cs="Arial Unicode MS"/>
      <w:color w:val="000000"/>
      <w:sz w:val="22"/>
      <w:szCs w:val="22"/>
      <w:lang w:val="zh-CN" w:eastAsia="zh-CN" w:bidi="ar-SA"/>
    </w:rPr>
  </w:style>
  <w:style w:type="paragraph" w:customStyle="1" w:styleId="14">
    <w:name w:val="列出段落1"/>
    <w:basedOn w:val="1"/>
    <w:qFormat/>
    <w:uiPriority w:val="34"/>
    <w:pPr>
      <w:ind w:firstLine="420" w:firstLineChars="200"/>
    </w:pPr>
  </w:style>
  <w:style w:type="character" w:customStyle="1" w:styleId="15">
    <w:name w:val="批注框文本 字符"/>
    <w:basedOn w:val="9"/>
    <w:link w:val="3"/>
    <w:semiHidden/>
    <w:qFormat/>
    <w:uiPriority w:val="99"/>
    <w:rPr>
      <w:rFonts w:ascii="Times New Roman" w:hAnsi="Times New Roman" w:eastAsia="宋体" w:cs="Times New Roman"/>
      <w:kern w:val="0"/>
      <w:sz w:val="18"/>
      <w:szCs w:val="18"/>
      <w:lang w:eastAsia="en-US"/>
    </w:rPr>
  </w:style>
  <w:style w:type="character" w:customStyle="1" w:styleId="16">
    <w:name w:val="页眉 字符"/>
    <w:basedOn w:val="9"/>
    <w:link w:val="5"/>
    <w:qFormat/>
    <w:uiPriority w:val="99"/>
    <w:rPr>
      <w:rFonts w:ascii="Times New Roman" w:hAnsi="Times New Roman" w:eastAsia="宋体" w:cs="Times New Roman"/>
      <w:kern w:val="0"/>
      <w:sz w:val="18"/>
      <w:szCs w:val="18"/>
      <w:lang w:eastAsia="en-US"/>
    </w:rPr>
  </w:style>
  <w:style w:type="paragraph" w:styleId="17">
    <w:name w:val="List Paragraph"/>
    <w:basedOn w:val="1"/>
    <w:qFormat/>
    <w:uiPriority w:val="34"/>
    <w:pPr>
      <w:ind w:firstLine="420" w:firstLineChars="200"/>
    </w:pPr>
  </w:style>
  <w:style w:type="character" w:customStyle="1" w:styleId="18">
    <w:name w:val="批注文字 字符"/>
    <w:basedOn w:val="9"/>
    <w:link w:val="2"/>
    <w:semiHidden/>
    <w:qFormat/>
    <w:uiPriority w:val="99"/>
    <w:rPr>
      <w:rFonts w:ascii="Times New Roman" w:hAnsi="Times New Roman" w:eastAsia="宋体" w:cs="Times New Roman"/>
      <w:kern w:val="0"/>
      <w:sz w:val="24"/>
      <w:szCs w:val="24"/>
      <w:lang w:eastAsia="en-US"/>
    </w:rPr>
  </w:style>
  <w:style w:type="character" w:customStyle="1" w:styleId="19">
    <w:name w:val="批注主题 字符"/>
    <w:basedOn w:val="18"/>
    <w:link w:val="7"/>
    <w:semiHidden/>
    <w:qFormat/>
    <w:uiPriority w:val="99"/>
    <w:rPr>
      <w:rFonts w:ascii="Times New Roman" w:hAnsi="Times New Roman" w:eastAsia="宋体" w:cs="Times New Roman"/>
      <w:b/>
      <w:bCs/>
      <w:kern w:val="0"/>
      <w:sz w:val="24"/>
      <w:szCs w:val="24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921EB-A8EF-4EC1-AB83-777305A5DEC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江苏省教育厅</Company>
  <Pages>1</Pages>
  <Words>1535</Words>
  <Characters>1559</Characters>
  <Lines>9</Lines>
  <Paragraphs>2</Paragraphs>
  <TotalTime>25</TotalTime>
  <ScaleCrop>false</ScaleCrop>
  <LinksUpToDate>false</LinksUpToDate>
  <CharactersWithSpaces>1591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2020-12-01T02:48:00Z</dcterms:created>
  <dc:creator>Administrator</dc:creator>
  <cp:lastModifiedBy>豆艳</cp:lastModifiedBy>
  <cp:lastPrinted>2021-12-06T03:11:00Z</cp:lastPrinted>
  <dcterms:modified xsi:type="dcterms:W3CDTF">2025-02-13T09:39:14Z</dcterms:modified>
  <cp:revision>183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3570A6ABAECA409197C2D2824FDDEE16</vt:lpwstr>
  </property>
  <property fmtid="{D5CDD505-2E9C-101B-9397-08002B2CF9AE}" pid="4" name="KSOTemplateDocerSaveRecord">
    <vt:lpwstr>eyJoZGlkIjoiODVmMWNhYjI4ZGVmZWZmMzg2NjliN2NlNzc0ZTVkNTgiLCJ1c2VySWQiOiIxNjY1NDA5ODQyIn0=</vt:lpwstr>
  </property>
</Properties>
</file>