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widowControl/>
        <w:ind w:left="0"/>
        <w:jc w:val="left"/>
        <w:rPr>
          <w:rFonts w:ascii="黑体" w:eastAsia="黑体" w:cs="Times New Roman"/>
          <w:sz w:val="32"/>
          <w:szCs w:val="32"/>
        </w:rPr>
      </w:pPr>
      <w:r>
        <w:rPr>
          <w:rFonts w:ascii="黑体" w:eastAsia="黑体" w:cs="Times New Roman"/>
          <w:sz w:val="32"/>
          <w:szCs w:val="32"/>
        </w:rPr>
        <w:t>附件</w:t>
      </w:r>
    </w:p>
    <w:p>
      <w:pPr>
        <w:spacing w:line="0" w:lineRule="atLeast"/>
        <w:jc w:val="center"/>
        <w:rPr>
          <w:rFonts w:ascii="Times New Roman" w:eastAsia="方正小标宋简体" w:cs="Times New Roman" w:hAnsi="Times New Roman"/>
          <w:sz w:val="44"/>
          <w:szCs w:val="44"/>
        </w:rPr>
      </w:pPr>
      <w:r>
        <w:rPr>
          <w:rFonts w:ascii="Times New Roman" w:eastAsia="方正小标宋简体" w:cs="Times New Roman" w:hAnsi="Times New Roman"/>
          <w:sz w:val="44"/>
          <w:szCs w:val="44"/>
        </w:rPr>
        <w:t>2023年省级老年教育学习资源库子库项目名单</w:t>
      </w:r>
    </w:p>
    <w:tbl>
      <w:tblPr>
        <w:jc w:val="center"/>
        <w:tblW w:w="14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5103"/>
        <w:gridCol w:w="5130"/>
        <w:gridCol w:w="2693"/>
      </w:tblGrid>
      <w:tr>
        <w:trPr>
          <w:trHeight w:val="811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黑体" w:eastAsia="黑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cs="Times New Roman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黑体" w:eastAsia="黑体" w:cs="Times New Roman"/>
                <w:kern w:val="0"/>
                <w:sz w:val="32"/>
                <w:szCs w:val="32"/>
              </w:rPr>
            </w:pPr>
            <w:r>
              <w:rPr>
                <w:rFonts w:ascii="黑体" w:eastAsia="黑体" w:cs="Times New Roman" w:hint="eastAsia"/>
                <w:kern w:val="0"/>
                <w:sz w:val="32"/>
                <w:szCs w:val="32"/>
              </w:rPr>
              <w:t>项目</w:t>
            </w:r>
            <w:r>
              <w:rPr>
                <w:rFonts w:ascii="黑体" w:eastAsia="黑体" w:cs="Times New Roman"/>
                <w:kern w:val="0"/>
                <w:sz w:val="32"/>
                <w:szCs w:val="32"/>
              </w:rPr>
              <w:t>名称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黑体" w:eastAsia="黑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cs="Times New Roman"/>
                <w:color w:val="000000"/>
                <w:kern w:val="0"/>
                <w:sz w:val="32"/>
                <w:szCs w:val="32"/>
              </w:rPr>
              <w:t>申报单位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黑体" w:eastAsia="黑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cs="Times New Roman"/>
                <w:color w:val="000000"/>
                <w:kern w:val="0"/>
                <w:sz w:val="32"/>
                <w:szCs w:val="32"/>
              </w:rPr>
              <w:t>项目负责人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金陵文化行走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南京开放大学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赵运初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地图中国说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南京市江宁区淳化街道社区教育中心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潘家保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传统保健按摩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南京市江宁区汤山街道社区教育中心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郭军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老年养生文化学习与传承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南京市秦淮开放大学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南京市秦淮区光华路街道社区教育中心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南京市秦淮区秦虹街道社区教育中心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何铁雨、张美霞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“筝声雅韵”古筝与音乐的对话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南京市栖霞区燕子矶街道社区教育中心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李瑞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《古诗里的中国》（古诗鉴赏与诵读）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无锡教育电视台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程宏强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琵琶行——入门教学与欣赏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无锡教育电视台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周磊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随时随地做瑜伽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无锡教育电视台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周磊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创意流彩画实用技巧——童心丹青绘就美好生活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常州开放大学</w:t>
            </w:r>
            <w:bookmarkStart w:id="0" w:name="_GoBack"/>
            <w:bookmarkEnd w:id="0"/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蔡易、袁彩哲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溢彩年华——老年服饰艺术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常州开放大学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吕颖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基本乐理与简谱视唱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杨海霞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生活中的营养学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周虹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写意花鸟画创作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姚梦婕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老年服饰穿搭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苏州市职业大学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张鸣艳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品读吴文化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苏州市职业大学（苏州开放大学）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宋桂友、高觐悦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话说吴江古镇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苏州市吴江区开放大学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苏州市吴江区老年大学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钮烨烨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连云港贝雕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连云港市赣榆区新市民教育协会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连云港市赣榆区青口镇社区教育中心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孙月坤、张西月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庭园生辉文化讲堂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苏叶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物华天宝文物讲堂（二）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葛克伟、阮文杰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扬州剪纸艺术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扬州市职业大学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扬州市广陵经济开发区社区教育中心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陆彩兰、吉万年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建和谐关系，享健康生活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黄华明、李安芹</w:t>
            </w:r>
          </w:p>
        </w:tc>
      </w:tr>
      <w:tr>
        <w:trPr>
          <w:trHeight w:val="736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锡剧教学与表演指导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镇江市老年大学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蔡晓海</w:t>
            </w:r>
          </w:p>
        </w:tc>
      </w:tr>
      <w:tr>
        <w:trPr>
          <w:trHeight w:val="705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文化类——古典诗词之美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南京财经大学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赵娜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老年科学养生与保健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南京科技职业学院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南京市江北新区社区学院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权静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中老年休闲健身——匹克球运动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南京科技职业学院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南京市江北新区社区学院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王海波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数字图像与视频编辑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魏砚雨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经络腧穴与护理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姜荣荣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中医到底如何治病——医生不会讲给你听的《伤寒论》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凌云、孙松娴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文化旅游与电子商务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陈丽荣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字体设计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王旖旎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茶艺实用教程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倪晓波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数字金融应用——金融新生活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无锡商业职业技术学院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无锡市惠山区钱桥街道溪南社区居民委员会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尹兴宽、高勋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音形的奥秘：英语语音与诵读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无锡学院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赵岚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老年声乐教程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江苏师范大学继续教育学院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沈婷婷</w:t>
            </w:r>
          </w:p>
        </w:tc>
      </w:tr>
      <w:tr>
        <w:trPr>
          <w:trHeight w:val="939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没骨花卉鉴赏与创作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江苏师范大学继续教育学院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张勤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“岁月美学”：老年软装创意设计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徐州工业职业技术学院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中国室内装饰协会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杨琼、陈彦、岳子煊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现代教育技术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陆霞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学前儿童卫生与保健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徐州经济技术开发区老年大学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李海芸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“花”样生活——老年手工课程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常州纺织服装职业技术学院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常州市新北区三井街道藻江社区</w:t>
            </w:r>
            <w:r>
              <w:rPr>
                <w:rFonts w:ascii="Times New Roman" w:eastAsia="仿宋_GB2312" w:cs="Times New Roman" w:hAnsi="Times New Roman" w:hint="eastAsia"/>
                <w:color w:val="000000"/>
                <w:kern w:val="0"/>
                <w:sz w:val="28"/>
                <w:szCs w:val="28"/>
              </w:rPr>
              <w:t>居民委员会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周飞、朱佩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老年人服饰配色与化妆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常州纺织服装职业技术学院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张安凤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江苏非遗：民间传说与故事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刘李娥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涉外礼仪与修养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李如平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老年心理学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常州工业职业技术学院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郑海燕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饮食营养与文化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常州工业职业技术学院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江苏华怡明都酒店集团有限公司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刘加凤、陈纯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媒体书画艺术鉴赏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陈维艳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一起跳排舞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郭凌云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智慧就医——守护夕阳红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江苏城乡建设职业学院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孟亚俐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老年手机摄影摄像与电子相册制作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苏州工艺美术职业技术学院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王刚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陶瓷制作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苏州工艺美术职业技术学院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苏州太湖窑陶瓷有限公司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冷</w:t>
            </w:r>
            <w:r>
              <w:rPr>
                <w:rFonts w:ascii="Times New Roman" w:eastAsia="微软雅黑" w:cs="Times New Roman" w:hAnsi="Times New Roman"/>
                <w:color w:val="000000"/>
                <w:kern w:val="0"/>
                <w:sz w:val="28"/>
                <w:szCs w:val="28"/>
              </w:rPr>
              <w:t>赟</w:t>
            </w: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玲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传统体育养生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张艳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苏作丝绸手工技艺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黄紫娟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江南园林文化艺术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苏州农业职业技术学院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苏州古典园林建筑有限公司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姚岚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江南园林植物艺术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鞠鹏杰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老年肌肉骨骼康复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郭慧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老年健身康复活动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江苏工程职业技术学院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南通市阳光养老产业集团有限公司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刘记红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餐饮服务与操作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梅迎春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广告摄影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陈想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社交礼仪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江苏海洋大学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安俊丽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中华气韵——健身气功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江苏电子信息职业学院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王艳如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老年口腔卫生保健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江苏护理职业学院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淮安市口腔医院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淮安市第二人民医院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淮安市瑞博口腔医疗有限公司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张梅、任曼丽、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王晓君、杜鹃、葛殿奎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心脑血管疾病的识别与应急应对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江苏护理职业学院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南京江北医院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夏立平、马琼、</w:t>
            </w:r>
          </w:p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侯赛宁、关丽丽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银龄空竹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江苏旅游职业学院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汤勤华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酒文化与茶文化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王富花</w:t>
            </w:r>
          </w:p>
        </w:tc>
      </w:tr>
      <w:tr>
        <w:trPr>
          <w:trHeight w:val="567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修身养性太极拳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杨牧</w:t>
            </w:r>
          </w:p>
        </w:tc>
      </w:tr>
      <w:tr>
        <w:trPr>
          <w:trHeight w:val="634"/>
        </w:trPr>
        <w:tc>
          <w:tcPr>
            <w:tcW w:w="1129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宠物养护与驯导</w:t>
            </w:r>
          </w:p>
        </w:tc>
        <w:tc>
          <w:tcPr>
            <w:tcW w:w="513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Ansi="Times New Roman"/>
                <w:color w:val="000000"/>
                <w:kern w:val="0"/>
                <w:sz w:val="28"/>
                <w:szCs w:val="28"/>
              </w:rPr>
              <w:t>孟婷</w:t>
            </w:r>
          </w:p>
        </w:tc>
      </w:tr>
    </w:tbl>
    <w:p/>
    <w:sectPr>
      <w:footerReference w:type="default" r:id="rId2"/>
      <w:footerReference w:type="even" r:id="rId3"/>
      <w:pgSz w:w="16838" w:h="11906" w:orient="landscape"/>
      <w:pgMar w:top="1474" w:right="1440" w:bottom="1474" w:left="1440" w:header="851" w:footer="992" w:gutter="0"/>
      <w:pgNumType/>
      <w:docGrid w:type="linesAndChar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framePr w:w="255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rPr>
        <w:rFonts w:ascii="Times New Roman" w:cs="Times New Roman" w:hAnsi="Times New Roman"/>
        <w:sz w:val="24"/>
        <w:szCs w:val="24"/>
      </w:rPr>
    </w:pPr>
    <w:r>
      <w:rPr>
        <w:rStyle w:val="43"/>
        <w:rFonts w:ascii="Times New Roman" w:cs="Times New Roman" w:hAnsi="Times New Roman"/>
        <w:sz w:val="24"/>
        <w:szCs w:val="24"/>
      </w:rPr>
      <w:fldChar w:fldCharType="begin"/>
    </w:r>
    <w:r>
      <w:rPr>
        <w:rStyle w:val="43"/>
        <w:rFonts w:ascii="Times New Roman" w:cs="Times New Roman" w:hAnsi="Times New Roman"/>
        <w:sz w:val="24"/>
        <w:szCs w:val="24"/>
      </w:rPr>
      <w:instrText>Page</w:instrText>
    </w:r>
    <w:r>
      <w:rPr>
        <w:rStyle w:val="43"/>
        <w:rFonts w:ascii="Times New Roman" w:cs="Times New Roman" w:hAnsi="Times New Roman"/>
        <w:sz w:val="24"/>
        <w:szCs w:val="24"/>
      </w:rPr>
      <w:fldChar w:fldCharType="separate"/>
    </w:r>
    <w:r>
      <w:rPr>
        <w:rStyle w:val="43"/>
        <w:rFonts w:ascii="Times New Roman" w:cs="Times New Roman" w:hAnsi="Times New Roman"/>
        <w:sz w:val="24"/>
        <w:szCs w:val="24"/>
      </w:rPr>
      <w:t>1</w:t>
    </w:r>
    <w:r>
      <w:rPr>
        <w:rStyle w:val="43"/>
        <w:rFonts w:ascii="Times New Roman" w:cs="Times New Roman" w:hAnsi="Times New Roman"/>
        <w:sz w:val="24"/>
        <w:szCs w:val="24"/>
      </w:rPr>
      <w:fldChar w:fldCharType="end"/>
    </w:r>
  </w:p>
  <w:p>
    <w:pPr>
      <w:pStyle w:val="16"/>
      <w:tabs>
        <w:tab w:val="center" w:pos="4153"/>
        <w:tab w:val="right" w:pos="8306"/>
      </w:tabs>
      <w:jc w:val="center"/>
      <w:rPr>
        <w:rFonts w:ascii="Times New Roman" w:cs="Times New Roman" w:hAnsi="Times New Roman"/>
        <w:sz w:val="24"/>
        <w:szCs w:val="24"/>
      </w:rPr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</w:pPr>
    <w:r>
      <w:rPr>
        <w:rStyle w:val="43"/>
      </w:rPr>
      <w:fldChar w:fldCharType="begin"/>
    </w:r>
    <w:r>
      <w:rPr>
        <w:rStyle w:val="43"/>
      </w:rPr>
      <w:instrText>Page</w:instrText>
    </w:r>
    <w:r>
      <w:rPr>
        <w:rStyle w:val="43"/>
      </w:rPr>
      <w:fldChar w:fldCharType="separate"/>
    </w:r>
    <w:r>
      <w:rPr>
        <w:rStyle w:val="43"/>
      </w:rPr>
      <w:t>1</w:t>
    </w:r>
    <w:r>
      <w:rPr>
        <w:rStyle w:val="43"/>
      </w:rPr>
      <w:fldChar w:fldCharType="end"/>
    </w:r>
  </w:p>
  <w:p>
    <w:pPr>
      <w:pStyle w:val="16"/>
      <w:tabs>
        <w:tab w:val="center" w:pos="4153"/>
        <w:tab w:val="right" w:pos="8306"/>
      </w:tabs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Balloon Text"/>
    <w:basedOn w:val="0"/>
    <w:rPr>
      <w:sz w:val="18"/>
      <w:szCs w:val="18"/>
    </w:rPr>
  </w:style>
  <w:style w:type="character" w:styleId="43">
    <w:name w:val="page number"/>
    <w:basedOn w:val="10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57</TotalTime>
  <Application>Yozo_Office27021597764231179</Application>
  <Pages>6</Pages>
  <Words>1786</Words>
  <Characters>1865</Characters>
  <Lines>293</Lines>
  <Paragraphs>287</Paragraphs>
  <CharactersWithSpaces>1865</CharactersWithSpaces>
  <Company>江苏省教育厅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</dc:creator>
  <cp:lastModifiedBy>uos</cp:lastModifiedBy>
  <cp:revision>28</cp:revision>
  <cp:lastPrinted>2023-11-24T08:09:00Z</cp:lastPrinted>
  <dcterms:created xsi:type="dcterms:W3CDTF">2023-11-24T06:38:00Z</dcterms:created>
  <dcterms:modified xsi:type="dcterms:W3CDTF">2023-12-05T06:23:48Z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2052-11.8.6.11719</vt:lpwstr>
  </property>
  <property fmtid="{D5CDD505-2E9C-101B-9397-08002B2CF9AE}" pid="3" name="ICV">
    <vt:lpwstr>C476E1F1F8804133ADFB84F376A1E7E2</vt:lpwstr>
  </property>
</Properties>
</file>