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109E" w:rsidRDefault="0095109E" w:rsidP="0095109E">
      <w:pPr>
        <w:spacing w:line="560" w:lineRule="exact"/>
        <w:rPr>
          <w:rFonts w:eastAsia="黑体"/>
          <w:bCs/>
          <w:sz w:val="32"/>
          <w:szCs w:val="32"/>
        </w:rPr>
      </w:pPr>
      <w:bookmarkStart w:id="0" w:name="_GoBack"/>
      <w:bookmarkEnd w:id="0"/>
      <w:r>
        <w:rPr>
          <w:rFonts w:eastAsia="黑体"/>
          <w:bCs/>
          <w:sz w:val="32"/>
          <w:szCs w:val="32"/>
        </w:rPr>
        <w:t>附件</w:t>
      </w:r>
      <w:r>
        <w:rPr>
          <w:rFonts w:eastAsia="黑体"/>
          <w:bCs/>
          <w:sz w:val="32"/>
          <w:szCs w:val="32"/>
        </w:rPr>
        <w:t xml:space="preserve">1 </w:t>
      </w:r>
    </w:p>
    <w:p w:rsidR="0095109E" w:rsidRDefault="0095109E" w:rsidP="0095109E">
      <w:pPr>
        <w:spacing w:line="560" w:lineRule="exact"/>
        <w:rPr>
          <w:rFonts w:eastAsia="黑体"/>
          <w:bCs/>
          <w:sz w:val="32"/>
          <w:szCs w:val="32"/>
        </w:rPr>
      </w:pPr>
    </w:p>
    <w:p w:rsidR="0095109E" w:rsidRDefault="0095109E" w:rsidP="0095109E"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江苏省第二届高校体育教师教学基本功比赛</w:t>
      </w:r>
    </w:p>
    <w:p w:rsidR="0095109E" w:rsidRDefault="0095109E" w:rsidP="0095109E"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模拟上课要求及评分标准</w:t>
      </w:r>
    </w:p>
    <w:p w:rsidR="0095109E" w:rsidRDefault="0095109E" w:rsidP="0095109E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</w:p>
    <w:p w:rsidR="0095109E" w:rsidRDefault="0095109E" w:rsidP="0095109E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一、模拟上课内容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（一）公共体育组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．田径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）</w:t>
      </w:r>
      <w:proofErr w:type="gramStart"/>
      <w:r>
        <w:rPr>
          <w:rFonts w:eastAsia="仿宋_GB2312"/>
          <w:kern w:val="0"/>
          <w:sz w:val="32"/>
          <w:szCs w:val="32"/>
        </w:rPr>
        <w:t>蹲踞式起跑</w:t>
      </w:r>
      <w:proofErr w:type="gramEnd"/>
      <w:r>
        <w:rPr>
          <w:rFonts w:eastAsia="仿宋_GB2312"/>
          <w:kern w:val="0"/>
          <w:sz w:val="32"/>
          <w:szCs w:val="32"/>
        </w:rPr>
        <w:t xml:space="preserve">           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）跳远助跑起跳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）铅球侧向滑步</w:t>
      </w:r>
      <w:r>
        <w:rPr>
          <w:rFonts w:eastAsia="仿宋_GB2312"/>
          <w:kern w:val="0"/>
          <w:sz w:val="32"/>
          <w:szCs w:val="32"/>
        </w:rPr>
        <w:t xml:space="preserve">         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4</w:t>
      </w:r>
      <w:r>
        <w:rPr>
          <w:rFonts w:eastAsia="仿宋_GB2312"/>
          <w:kern w:val="0"/>
          <w:sz w:val="32"/>
          <w:szCs w:val="32"/>
        </w:rPr>
        <w:t>）跨栏</w:t>
      </w:r>
      <w:proofErr w:type="gramStart"/>
      <w:r>
        <w:rPr>
          <w:rFonts w:eastAsia="仿宋_GB2312"/>
          <w:kern w:val="0"/>
          <w:sz w:val="32"/>
          <w:szCs w:val="32"/>
        </w:rPr>
        <w:t>跑攻栏</w:t>
      </w:r>
      <w:proofErr w:type="gramEnd"/>
      <w:r>
        <w:rPr>
          <w:rFonts w:eastAsia="仿宋_GB2312"/>
          <w:kern w:val="0"/>
          <w:sz w:val="32"/>
          <w:szCs w:val="32"/>
        </w:rPr>
        <w:t>技术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）接力跑交接棒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．篮球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）行进间运球</w:t>
      </w:r>
      <w:r>
        <w:rPr>
          <w:rFonts w:eastAsia="仿宋_GB2312"/>
          <w:kern w:val="0"/>
          <w:sz w:val="32"/>
          <w:szCs w:val="32"/>
        </w:rPr>
        <w:t xml:space="preserve">           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）双手胸前传球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）单手肩上投篮</w:t>
      </w:r>
      <w:r>
        <w:rPr>
          <w:rFonts w:eastAsia="仿宋_GB2312"/>
          <w:kern w:val="0"/>
          <w:sz w:val="32"/>
          <w:szCs w:val="32"/>
        </w:rPr>
        <w:t xml:space="preserve">         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4</w:t>
      </w:r>
      <w:r>
        <w:rPr>
          <w:rFonts w:eastAsia="仿宋_GB2312"/>
          <w:kern w:val="0"/>
          <w:sz w:val="32"/>
          <w:szCs w:val="32"/>
        </w:rPr>
        <w:t>）持球突破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）</w:t>
      </w:r>
      <w:r>
        <w:rPr>
          <w:rFonts w:eastAsia="仿宋_GB2312"/>
          <w:kern w:val="0"/>
          <w:sz w:val="32"/>
          <w:szCs w:val="32"/>
        </w:rPr>
        <w:t>2-1-2</w:t>
      </w:r>
      <w:r>
        <w:rPr>
          <w:rFonts w:eastAsia="仿宋_GB2312"/>
          <w:kern w:val="0"/>
          <w:sz w:val="32"/>
          <w:szCs w:val="32"/>
        </w:rPr>
        <w:t>区域联防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．足球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）脚背正面颠球</w:t>
      </w:r>
      <w:r>
        <w:rPr>
          <w:rFonts w:eastAsia="仿宋_GB2312"/>
          <w:kern w:val="0"/>
          <w:sz w:val="32"/>
          <w:szCs w:val="32"/>
        </w:rPr>
        <w:t xml:space="preserve">         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）脚内侧传接球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）脚背内侧踢球</w:t>
      </w:r>
      <w:r>
        <w:rPr>
          <w:rFonts w:eastAsia="仿宋_GB2312"/>
          <w:kern w:val="0"/>
          <w:sz w:val="32"/>
          <w:szCs w:val="32"/>
        </w:rPr>
        <w:t xml:space="preserve">         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4</w:t>
      </w:r>
      <w:r>
        <w:rPr>
          <w:rFonts w:eastAsia="仿宋_GB2312"/>
          <w:kern w:val="0"/>
          <w:sz w:val="32"/>
          <w:szCs w:val="32"/>
        </w:rPr>
        <w:t>）前额正面顶球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）斜传直插二过一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4</w:t>
      </w:r>
      <w:r>
        <w:rPr>
          <w:rFonts w:eastAsia="仿宋_GB2312"/>
          <w:kern w:val="0"/>
          <w:sz w:val="32"/>
          <w:szCs w:val="32"/>
        </w:rPr>
        <w:t>．排球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）正面上手发球</w:t>
      </w:r>
      <w:r>
        <w:rPr>
          <w:rFonts w:eastAsia="仿宋_GB2312"/>
          <w:kern w:val="0"/>
          <w:sz w:val="32"/>
          <w:szCs w:val="32"/>
        </w:rPr>
        <w:t xml:space="preserve">         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）正面双手垫球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）正面双手传球</w:t>
      </w:r>
      <w:r>
        <w:rPr>
          <w:rFonts w:eastAsia="仿宋_GB2312"/>
          <w:kern w:val="0"/>
          <w:sz w:val="32"/>
          <w:szCs w:val="32"/>
        </w:rPr>
        <w:t xml:space="preserve">         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4</w:t>
      </w:r>
      <w:r>
        <w:rPr>
          <w:rFonts w:eastAsia="仿宋_GB2312"/>
          <w:kern w:val="0"/>
          <w:sz w:val="32"/>
          <w:szCs w:val="32"/>
        </w:rPr>
        <w:t>）扣球</w:t>
      </w:r>
      <w:r>
        <w:rPr>
          <w:rFonts w:eastAsia="仿宋_GB2312"/>
          <w:kern w:val="0"/>
          <w:sz w:val="32"/>
          <w:szCs w:val="32"/>
        </w:rPr>
        <w:t xml:space="preserve">        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lastRenderedPageBreak/>
        <w:t>（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）中一二进攻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．乒乓球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）</w:t>
      </w:r>
      <w:proofErr w:type="gramStart"/>
      <w:r>
        <w:rPr>
          <w:rFonts w:eastAsia="仿宋_GB2312"/>
          <w:kern w:val="0"/>
          <w:sz w:val="32"/>
          <w:szCs w:val="32"/>
        </w:rPr>
        <w:t>正手发平</w:t>
      </w:r>
      <w:proofErr w:type="gramEnd"/>
      <w:r>
        <w:rPr>
          <w:rFonts w:eastAsia="仿宋_GB2312"/>
          <w:kern w:val="0"/>
          <w:sz w:val="32"/>
          <w:szCs w:val="32"/>
        </w:rPr>
        <w:t>击球</w:t>
      </w:r>
      <w:r>
        <w:rPr>
          <w:rFonts w:eastAsia="仿宋_GB2312"/>
          <w:kern w:val="0"/>
          <w:sz w:val="32"/>
          <w:szCs w:val="32"/>
        </w:rPr>
        <w:t xml:space="preserve">         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）推挡球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）正手攻球</w:t>
      </w:r>
      <w:r>
        <w:rPr>
          <w:rFonts w:eastAsia="仿宋_GB2312"/>
          <w:kern w:val="0"/>
          <w:sz w:val="32"/>
          <w:szCs w:val="32"/>
        </w:rPr>
        <w:t xml:space="preserve">             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4</w:t>
      </w:r>
      <w:r>
        <w:rPr>
          <w:rFonts w:eastAsia="仿宋_GB2312"/>
          <w:kern w:val="0"/>
          <w:sz w:val="32"/>
          <w:szCs w:val="32"/>
        </w:rPr>
        <w:t>）</w:t>
      </w:r>
      <w:proofErr w:type="gramStart"/>
      <w:r>
        <w:rPr>
          <w:rFonts w:eastAsia="仿宋_GB2312"/>
          <w:kern w:val="0"/>
          <w:sz w:val="32"/>
          <w:szCs w:val="32"/>
        </w:rPr>
        <w:t>加转弧圈球</w:t>
      </w:r>
      <w:proofErr w:type="gramEnd"/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）发球抢攻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6</w:t>
      </w:r>
      <w:r>
        <w:rPr>
          <w:rFonts w:eastAsia="仿宋_GB2312"/>
          <w:kern w:val="0"/>
          <w:sz w:val="32"/>
          <w:szCs w:val="32"/>
        </w:rPr>
        <w:t>．羽毛球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）</w:t>
      </w:r>
      <w:proofErr w:type="gramStart"/>
      <w:r>
        <w:rPr>
          <w:rFonts w:eastAsia="仿宋_GB2312"/>
          <w:kern w:val="0"/>
          <w:sz w:val="32"/>
          <w:szCs w:val="32"/>
        </w:rPr>
        <w:t>正手发高远球</w:t>
      </w:r>
      <w:proofErr w:type="gramEnd"/>
      <w:r>
        <w:rPr>
          <w:rFonts w:eastAsia="仿宋_GB2312"/>
          <w:kern w:val="0"/>
          <w:sz w:val="32"/>
          <w:szCs w:val="32"/>
        </w:rPr>
        <w:t xml:space="preserve">         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）正手</w:t>
      </w:r>
      <w:proofErr w:type="gramStart"/>
      <w:r>
        <w:rPr>
          <w:rFonts w:eastAsia="仿宋_GB2312"/>
          <w:kern w:val="0"/>
          <w:sz w:val="32"/>
          <w:szCs w:val="32"/>
        </w:rPr>
        <w:t>击</w:t>
      </w:r>
      <w:proofErr w:type="gramEnd"/>
      <w:r>
        <w:rPr>
          <w:rFonts w:eastAsia="仿宋_GB2312"/>
          <w:kern w:val="0"/>
          <w:sz w:val="32"/>
          <w:szCs w:val="32"/>
        </w:rPr>
        <w:t>高远球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）反手</w:t>
      </w:r>
      <w:proofErr w:type="gramStart"/>
      <w:r>
        <w:rPr>
          <w:rFonts w:eastAsia="仿宋_GB2312"/>
          <w:kern w:val="0"/>
          <w:sz w:val="32"/>
          <w:szCs w:val="32"/>
        </w:rPr>
        <w:t>搓</w:t>
      </w:r>
      <w:proofErr w:type="gramEnd"/>
      <w:r>
        <w:rPr>
          <w:rFonts w:eastAsia="仿宋_GB2312"/>
          <w:kern w:val="0"/>
          <w:sz w:val="32"/>
          <w:szCs w:val="32"/>
        </w:rPr>
        <w:t>网前球</w:t>
      </w:r>
      <w:r>
        <w:rPr>
          <w:rFonts w:eastAsia="仿宋_GB2312"/>
          <w:kern w:val="0"/>
          <w:sz w:val="32"/>
          <w:szCs w:val="32"/>
        </w:rPr>
        <w:t xml:space="preserve">         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4</w:t>
      </w:r>
      <w:r>
        <w:rPr>
          <w:rFonts w:eastAsia="仿宋_GB2312"/>
          <w:kern w:val="0"/>
          <w:sz w:val="32"/>
          <w:szCs w:val="32"/>
        </w:rPr>
        <w:t>）头顶滑板吊球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）正手扑球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7</w:t>
      </w:r>
      <w:r>
        <w:rPr>
          <w:rFonts w:eastAsia="仿宋_GB2312"/>
          <w:kern w:val="0"/>
          <w:sz w:val="32"/>
          <w:szCs w:val="32"/>
        </w:rPr>
        <w:t>．网球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）底线正手上旋球</w:t>
      </w:r>
      <w:r>
        <w:rPr>
          <w:rFonts w:eastAsia="仿宋_GB2312"/>
          <w:kern w:val="0"/>
          <w:sz w:val="32"/>
          <w:szCs w:val="32"/>
        </w:rPr>
        <w:t xml:space="preserve">       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）反手切削球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）正手截击</w:t>
      </w:r>
      <w:r>
        <w:rPr>
          <w:rFonts w:eastAsia="仿宋_GB2312"/>
          <w:kern w:val="0"/>
          <w:sz w:val="32"/>
          <w:szCs w:val="32"/>
        </w:rPr>
        <w:t xml:space="preserve">             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4</w:t>
      </w:r>
      <w:r>
        <w:rPr>
          <w:rFonts w:eastAsia="仿宋_GB2312"/>
          <w:kern w:val="0"/>
          <w:sz w:val="32"/>
          <w:szCs w:val="32"/>
        </w:rPr>
        <w:t>）上旋发球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）双手反手击球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8</w:t>
      </w:r>
      <w:r>
        <w:rPr>
          <w:rFonts w:eastAsia="仿宋_GB2312"/>
          <w:kern w:val="0"/>
          <w:sz w:val="32"/>
          <w:szCs w:val="32"/>
        </w:rPr>
        <w:t>．武术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）大跃步前穿（初级长拳）</w:t>
      </w:r>
      <w:r>
        <w:rPr>
          <w:rFonts w:eastAsia="仿宋_GB2312"/>
          <w:kern w:val="0"/>
          <w:sz w:val="32"/>
          <w:szCs w:val="32"/>
        </w:rPr>
        <w:t xml:space="preserve">  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）白鹤亮翅（</w:t>
      </w:r>
      <w:r>
        <w:rPr>
          <w:rFonts w:eastAsia="仿宋_GB2312"/>
          <w:kern w:val="0"/>
          <w:sz w:val="32"/>
          <w:szCs w:val="32"/>
        </w:rPr>
        <w:t>24</w:t>
      </w:r>
      <w:r>
        <w:rPr>
          <w:rFonts w:eastAsia="仿宋_GB2312"/>
          <w:kern w:val="0"/>
          <w:sz w:val="32"/>
          <w:szCs w:val="32"/>
        </w:rPr>
        <w:t>式太极拳）</w:t>
      </w:r>
      <w:r>
        <w:rPr>
          <w:rFonts w:eastAsia="仿宋_GB2312"/>
          <w:kern w:val="0"/>
          <w:sz w:val="32"/>
          <w:szCs w:val="32"/>
        </w:rPr>
        <w:t xml:space="preserve"> 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）左右冲拳加后鞭腿（散打）</w:t>
      </w:r>
      <w:r>
        <w:rPr>
          <w:rFonts w:eastAsia="仿宋_GB2312"/>
          <w:kern w:val="0"/>
          <w:sz w:val="32"/>
          <w:szCs w:val="32"/>
        </w:rPr>
        <w:t xml:space="preserve">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4</w:t>
      </w:r>
      <w:r>
        <w:rPr>
          <w:rFonts w:eastAsia="仿宋_GB2312"/>
          <w:kern w:val="0"/>
          <w:sz w:val="32"/>
          <w:szCs w:val="32"/>
        </w:rPr>
        <w:t>）缠头裹脑刀法（刀术）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）拗弓步刺剑（剑术）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9</w:t>
      </w:r>
      <w:r>
        <w:rPr>
          <w:rFonts w:eastAsia="仿宋_GB2312"/>
          <w:kern w:val="0"/>
          <w:sz w:val="32"/>
          <w:szCs w:val="32"/>
        </w:rPr>
        <w:t>．健美操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）竞技健美操基本步伐（</w:t>
      </w:r>
      <w:r>
        <w:rPr>
          <w:rFonts w:eastAsia="仿宋_GB2312"/>
          <w:kern w:val="0"/>
          <w:sz w:val="32"/>
          <w:szCs w:val="32"/>
        </w:rPr>
        <w:t>7</w:t>
      </w:r>
      <w:r>
        <w:rPr>
          <w:rFonts w:eastAsia="仿宋_GB2312"/>
          <w:kern w:val="0"/>
          <w:sz w:val="32"/>
          <w:szCs w:val="32"/>
        </w:rPr>
        <w:t>种步伐中任选不少于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种步伐）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lastRenderedPageBreak/>
        <w:t>（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）第三套健美操大众锻炼标准二级组合</w:t>
      </w:r>
      <w:proofErr w:type="gramStart"/>
      <w:r>
        <w:rPr>
          <w:rFonts w:eastAsia="仿宋_GB2312"/>
          <w:kern w:val="0"/>
          <w:sz w:val="32"/>
          <w:szCs w:val="32"/>
        </w:rPr>
        <w:t>一</w:t>
      </w:r>
      <w:proofErr w:type="gramEnd"/>
      <w:r>
        <w:rPr>
          <w:rFonts w:eastAsia="仿宋_GB2312"/>
          <w:kern w:val="0"/>
          <w:sz w:val="32"/>
          <w:szCs w:val="32"/>
        </w:rPr>
        <w:t>（任选</w:t>
      </w:r>
      <w:r>
        <w:rPr>
          <w:rFonts w:eastAsia="仿宋_GB2312"/>
          <w:kern w:val="0"/>
          <w:sz w:val="32"/>
          <w:szCs w:val="32"/>
        </w:rPr>
        <w:t>1-2</w:t>
      </w:r>
      <w:r>
        <w:rPr>
          <w:rFonts w:eastAsia="仿宋_GB2312"/>
          <w:kern w:val="0"/>
          <w:sz w:val="32"/>
          <w:szCs w:val="32"/>
        </w:rPr>
        <w:t>个八拍）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）第三套健美操大众锻炼标准二级组合二（任选</w:t>
      </w:r>
      <w:r>
        <w:rPr>
          <w:rFonts w:eastAsia="仿宋_GB2312"/>
          <w:kern w:val="0"/>
          <w:sz w:val="32"/>
          <w:szCs w:val="32"/>
        </w:rPr>
        <w:t>1-2</w:t>
      </w:r>
      <w:r>
        <w:rPr>
          <w:rFonts w:eastAsia="仿宋_GB2312"/>
          <w:kern w:val="0"/>
          <w:sz w:val="32"/>
          <w:szCs w:val="32"/>
        </w:rPr>
        <w:t>个八拍）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4</w:t>
      </w:r>
      <w:r>
        <w:rPr>
          <w:rFonts w:eastAsia="仿宋_GB2312"/>
          <w:kern w:val="0"/>
          <w:sz w:val="32"/>
          <w:szCs w:val="32"/>
        </w:rPr>
        <w:t>）第三套健美操大众锻炼标准二级组合三（任选</w:t>
      </w:r>
      <w:r>
        <w:rPr>
          <w:rFonts w:eastAsia="仿宋_GB2312"/>
          <w:kern w:val="0"/>
          <w:sz w:val="32"/>
          <w:szCs w:val="32"/>
        </w:rPr>
        <w:t>1-2</w:t>
      </w:r>
      <w:r>
        <w:rPr>
          <w:rFonts w:eastAsia="仿宋_GB2312"/>
          <w:kern w:val="0"/>
          <w:sz w:val="32"/>
          <w:szCs w:val="32"/>
        </w:rPr>
        <w:t>个八拍）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）第三套健美操大众锻炼标准二级组合四（任选</w:t>
      </w:r>
      <w:r>
        <w:rPr>
          <w:rFonts w:eastAsia="仿宋_GB2312"/>
          <w:kern w:val="0"/>
          <w:sz w:val="32"/>
          <w:szCs w:val="32"/>
        </w:rPr>
        <w:t>1-2</w:t>
      </w:r>
      <w:r>
        <w:rPr>
          <w:rFonts w:eastAsia="仿宋_GB2312"/>
          <w:kern w:val="0"/>
          <w:sz w:val="32"/>
          <w:szCs w:val="32"/>
        </w:rPr>
        <w:t>个八拍）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（二）体育专业术科组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．田径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）</w:t>
      </w:r>
      <w:proofErr w:type="gramStart"/>
      <w:r>
        <w:rPr>
          <w:rFonts w:eastAsia="仿宋_GB2312"/>
          <w:kern w:val="0"/>
          <w:sz w:val="32"/>
          <w:szCs w:val="32"/>
        </w:rPr>
        <w:t>蹲踞式起跑</w:t>
      </w:r>
      <w:proofErr w:type="gramEnd"/>
      <w:r>
        <w:rPr>
          <w:rFonts w:eastAsia="仿宋_GB2312"/>
          <w:kern w:val="0"/>
          <w:sz w:val="32"/>
          <w:szCs w:val="32"/>
        </w:rPr>
        <w:t xml:space="preserve">           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）跳远助跑起跳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）铅球侧向滑步</w:t>
      </w:r>
      <w:r>
        <w:rPr>
          <w:rFonts w:eastAsia="仿宋_GB2312"/>
          <w:kern w:val="0"/>
          <w:sz w:val="32"/>
          <w:szCs w:val="32"/>
        </w:rPr>
        <w:t xml:space="preserve">         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4</w:t>
      </w:r>
      <w:r>
        <w:rPr>
          <w:rFonts w:eastAsia="仿宋_GB2312"/>
          <w:kern w:val="0"/>
          <w:sz w:val="32"/>
          <w:szCs w:val="32"/>
        </w:rPr>
        <w:t>）跨栏</w:t>
      </w:r>
      <w:proofErr w:type="gramStart"/>
      <w:r>
        <w:rPr>
          <w:rFonts w:eastAsia="仿宋_GB2312"/>
          <w:kern w:val="0"/>
          <w:sz w:val="32"/>
          <w:szCs w:val="32"/>
        </w:rPr>
        <w:t>跑攻栏</w:t>
      </w:r>
      <w:proofErr w:type="gramEnd"/>
      <w:r>
        <w:rPr>
          <w:rFonts w:eastAsia="仿宋_GB2312"/>
          <w:kern w:val="0"/>
          <w:sz w:val="32"/>
          <w:szCs w:val="32"/>
        </w:rPr>
        <w:t>技术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）接力跑交接棒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．足球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）脚背正面颠球</w:t>
      </w:r>
      <w:r>
        <w:rPr>
          <w:rFonts w:eastAsia="仿宋_GB2312"/>
          <w:kern w:val="0"/>
          <w:sz w:val="32"/>
          <w:szCs w:val="32"/>
        </w:rPr>
        <w:t xml:space="preserve">         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）脚内侧传接球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）脚背内侧踢球</w:t>
      </w:r>
      <w:r>
        <w:rPr>
          <w:rFonts w:eastAsia="仿宋_GB2312"/>
          <w:kern w:val="0"/>
          <w:sz w:val="32"/>
          <w:szCs w:val="32"/>
        </w:rPr>
        <w:t xml:space="preserve">         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4</w:t>
      </w:r>
      <w:r>
        <w:rPr>
          <w:rFonts w:eastAsia="仿宋_GB2312"/>
          <w:kern w:val="0"/>
          <w:sz w:val="32"/>
          <w:szCs w:val="32"/>
        </w:rPr>
        <w:t>）前额正面顶球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）斜传直插二过一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．乒乓球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）</w:t>
      </w:r>
      <w:proofErr w:type="gramStart"/>
      <w:r>
        <w:rPr>
          <w:rFonts w:eastAsia="仿宋_GB2312"/>
          <w:kern w:val="0"/>
          <w:sz w:val="32"/>
          <w:szCs w:val="32"/>
        </w:rPr>
        <w:t>正手发平</w:t>
      </w:r>
      <w:proofErr w:type="gramEnd"/>
      <w:r>
        <w:rPr>
          <w:rFonts w:eastAsia="仿宋_GB2312"/>
          <w:kern w:val="0"/>
          <w:sz w:val="32"/>
          <w:szCs w:val="32"/>
        </w:rPr>
        <w:t>击球</w:t>
      </w:r>
      <w:r>
        <w:rPr>
          <w:rFonts w:eastAsia="仿宋_GB2312"/>
          <w:kern w:val="0"/>
          <w:sz w:val="32"/>
          <w:szCs w:val="32"/>
        </w:rPr>
        <w:t xml:space="preserve">         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）推挡球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）正手攻球</w:t>
      </w:r>
      <w:r>
        <w:rPr>
          <w:rFonts w:eastAsia="仿宋_GB2312"/>
          <w:kern w:val="0"/>
          <w:sz w:val="32"/>
          <w:szCs w:val="32"/>
        </w:rPr>
        <w:t xml:space="preserve">             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4</w:t>
      </w:r>
      <w:r>
        <w:rPr>
          <w:rFonts w:eastAsia="仿宋_GB2312"/>
          <w:kern w:val="0"/>
          <w:sz w:val="32"/>
          <w:szCs w:val="32"/>
        </w:rPr>
        <w:t>）</w:t>
      </w:r>
      <w:proofErr w:type="gramStart"/>
      <w:r>
        <w:rPr>
          <w:rFonts w:eastAsia="仿宋_GB2312"/>
          <w:kern w:val="0"/>
          <w:sz w:val="32"/>
          <w:szCs w:val="32"/>
        </w:rPr>
        <w:t>加转弧圈球</w:t>
      </w:r>
      <w:proofErr w:type="gramEnd"/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）发球抢攻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4</w:t>
      </w:r>
      <w:r>
        <w:rPr>
          <w:rFonts w:eastAsia="仿宋_GB2312"/>
          <w:kern w:val="0"/>
          <w:sz w:val="32"/>
          <w:szCs w:val="32"/>
        </w:rPr>
        <w:t>．武术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lastRenderedPageBreak/>
        <w:t>（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）大跃步前穿（初级长拳）</w:t>
      </w:r>
      <w:r>
        <w:rPr>
          <w:rFonts w:eastAsia="仿宋_GB2312"/>
          <w:kern w:val="0"/>
          <w:sz w:val="32"/>
          <w:szCs w:val="32"/>
        </w:rPr>
        <w:t xml:space="preserve"> 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）白鹤亮翅（</w:t>
      </w:r>
      <w:r>
        <w:rPr>
          <w:rFonts w:eastAsia="仿宋_GB2312"/>
          <w:kern w:val="0"/>
          <w:sz w:val="32"/>
          <w:szCs w:val="32"/>
        </w:rPr>
        <w:t>24</w:t>
      </w:r>
      <w:r>
        <w:rPr>
          <w:rFonts w:eastAsia="仿宋_GB2312"/>
          <w:kern w:val="0"/>
          <w:sz w:val="32"/>
          <w:szCs w:val="32"/>
        </w:rPr>
        <w:t>式太极拳）</w:t>
      </w:r>
      <w:r>
        <w:rPr>
          <w:rFonts w:eastAsia="仿宋_GB2312"/>
          <w:kern w:val="0"/>
          <w:sz w:val="32"/>
          <w:szCs w:val="32"/>
        </w:rPr>
        <w:t xml:space="preserve"> 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）左右冲拳加后鞭腿（散打）</w:t>
      </w:r>
      <w:r>
        <w:rPr>
          <w:rFonts w:eastAsia="仿宋_GB2312"/>
          <w:kern w:val="0"/>
          <w:sz w:val="32"/>
          <w:szCs w:val="32"/>
        </w:rPr>
        <w:t xml:space="preserve"> </w:t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4</w:t>
      </w:r>
      <w:r>
        <w:rPr>
          <w:rFonts w:eastAsia="仿宋_GB2312"/>
          <w:kern w:val="0"/>
          <w:sz w:val="32"/>
          <w:szCs w:val="32"/>
        </w:rPr>
        <w:t>）缠头裹脑刀法（刀术）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）拗弓步刺剑（剑术）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（三）体育专业理论组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．课程范围：体育概论、运动解剖学、运动生理学、体育心理学、体育社会学、体育科研方法、健康教育学。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．具体教学内容在赛前抽签确定。</w:t>
      </w:r>
    </w:p>
    <w:p w:rsidR="0095109E" w:rsidRDefault="0095109E" w:rsidP="0095109E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二、模拟上课要求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（一）公共体育组和体育专业术科组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．编写教案（</w:t>
      </w:r>
      <w:r>
        <w:rPr>
          <w:rFonts w:eastAsia="仿宋_GB2312"/>
          <w:kern w:val="0"/>
          <w:sz w:val="32"/>
          <w:szCs w:val="32"/>
        </w:rPr>
        <w:t>10</w:t>
      </w:r>
      <w:r>
        <w:rPr>
          <w:rFonts w:eastAsia="仿宋_GB2312"/>
          <w:kern w:val="0"/>
          <w:sz w:val="32"/>
          <w:szCs w:val="32"/>
        </w:rPr>
        <w:t>分）。时长</w:t>
      </w:r>
      <w:r>
        <w:rPr>
          <w:rFonts w:eastAsia="仿宋_GB2312"/>
          <w:kern w:val="0"/>
          <w:sz w:val="32"/>
          <w:szCs w:val="32"/>
        </w:rPr>
        <w:t>60</w:t>
      </w:r>
      <w:r>
        <w:rPr>
          <w:rFonts w:eastAsia="仿宋_GB2312"/>
          <w:kern w:val="0"/>
          <w:sz w:val="32"/>
          <w:szCs w:val="32"/>
        </w:rPr>
        <w:t>分钟，时间到停止作答。选手用钢笔或中性签字笔手写一份</w:t>
      </w:r>
      <w:r>
        <w:rPr>
          <w:rFonts w:eastAsia="仿宋_GB2312"/>
          <w:kern w:val="0"/>
          <w:sz w:val="32"/>
          <w:szCs w:val="32"/>
        </w:rPr>
        <w:t>90</w:t>
      </w:r>
      <w:r>
        <w:rPr>
          <w:rFonts w:eastAsia="仿宋_GB2312"/>
          <w:kern w:val="0"/>
          <w:sz w:val="32"/>
          <w:szCs w:val="32"/>
        </w:rPr>
        <w:t>分钟的课堂教案（具体教学内容在赛前抽签确定）。赛会提供统一纸张，不提供固定格式，评委从教案质量和钢笔字的书写能力两个方面进行评分，其中教案质量占</w:t>
      </w:r>
      <w:r>
        <w:rPr>
          <w:rFonts w:eastAsia="仿宋_GB2312"/>
          <w:kern w:val="0"/>
          <w:sz w:val="32"/>
          <w:szCs w:val="32"/>
        </w:rPr>
        <w:t>70%</w:t>
      </w:r>
      <w:r>
        <w:rPr>
          <w:rFonts w:eastAsia="仿宋_GB2312"/>
          <w:kern w:val="0"/>
          <w:sz w:val="32"/>
          <w:szCs w:val="32"/>
        </w:rPr>
        <w:t>、书写能力占</w:t>
      </w:r>
      <w:r>
        <w:rPr>
          <w:rFonts w:eastAsia="仿宋_GB2312"/>
          <w:kern w:val="0"/>
          <w:sz w:val="32"/>
          <w:szCs w:val="32"/>
        </w:rPr>
        <w:t>30%</w:t>
      </w:r>
      <w:r>
        <w:rPr>
          <w:rFonts w:eastAsia="仿宋_GB2312"/>
          <w:kern w:val="0"/>
          <w:sz w:val="32"/>
          <w:szCs w:val="32"/>
        </w:rPr>
        <w:t>。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．模拟上课（</w:t>
      </w:r>
      <w:r>
        <w:rPr>
          <w:rFonts w:eastAsia="仿宋_GB2312"/>
          <w:kern w:val="0"/>
          <w:sz w:val="32"/>
          <w:szCs w:val="32"/>
        </w:rPr>
        <w:t>40</w:t>
      </w:r>
      <w:r>
        <w:rPr>
          <w:rFonts w:eastAsia="仿宋_GB2312"/>
          <w:kern w:val="0"/>
          <w:sz w:val="32"/>
          <w:szCs w:val="32"/>
        </w:rPr>
        <w:t>分）。时长</w:t>
      </w:r>
      <w:r>
        <w:rPr>
          <w:rFonts w:eastAsia="仿宋_GB2312"/>
          <w:kern w:val="0"/>
          <w:sz w:val="32"/>
          <w:szCs w:val="32"/>
        </w:rPr>
        <w:t>12</w:t>
      </w:r>
      <w:r>
        <w:rPr>
          <w:rFonts w:eastAsia="仿宋_GB2312"/>
          <w:kern w:val="0"/>
          <w:sz w:val="32"/>
          <w:szCs w:val="32"/>
        </w:rPr>
        <w:t>分钟，</w:t>
      </w:r>
      <w:r>
        <w:rPr>
          <w:rFonts w:eastAsia="仿宋_GB2312"/>
          <w:kern w:val="0"/>
          <w:sz w:val="32"/>
          <w:szCs w:val="32"/>
        </w:rPr>
        <w:t>11</w:t>
      </w:r>
      <w:r>
        <w:rPr>
          <w:rFonts w:eastAsia="仿宋_GB2312"/>
          <w:kern w:val="0"/>
          <w:sz w:val="32"/>
          <w:szCs w:val="32"/>
        </w:rPr>
        <w:t>分钟时评委提醒参赛选手，</w:t>
      </w:r>
      <w:r>
        <w:rPr>
          <w:rFonts w:eastAsia="仿宋_GB2312"/>
          <w:kern w:val="0"/>
          <w:sz w:val="32"/>
          <w:szCs w:val="32"/>
        </w:rPr>
        <w:t>12</w:t>
      </w:r>
      <w:r>
        <w:rPr>
          <w:rFonts w:eastAsia="仿宋_GB2312"/>
          <w:kern w:val="0"/>
          <w:sz w:val="32"/>
          <w:szCs w:val="32"/>
        </w:rPr>
        <w:t>分钟到即终止上课。选手按照抽签内容设计</w:t>
      </w:r>
      <w:r>
        <w:rPr>
          <w:rFonts w:eastAsia="仿宋_GB2312"/>
          <w:kern w:val="0"/>
          <w:sz w:val="32"/>
          <w:szCs w:val="32"/>
        </w:rPr>
        <w:t>90</w:t>
      </w:r>
      <w:r>
        <w:rPr>
          <w:rFonts w:eastAsia="仿宋_GB2312"/>
          <w:kern w:val="0"/>
          <w:sz w:val="32"/>
          <w:szCs w:val="32"/>
        </w:rPr>
        <w:t>分钟的课堂教学（须与教案一致。准备部分、结束部分、重复性练习、讲解等可简略），不改变课的基本结构，通过口令、讲解、示范、组织教法等进行模拟上课。比赛在室内进行，无学生，不用</w:t>
      </w:r>
      <w:r>
        <w:rPr>
          <w:rFonts w:eastAsia="仿宋_GB2312"/>
          <w:kern w:val="0"/>
          <w:sz w:val="32"/>
          <w:szCs w:val="32"/>
        </w:rPr>
        <w:t>PPT</w:t>
      </w:r>
      <w:r>
        <w:rPr>
          <w:rFonts w:eastAsia="仿宋_GB2312"/>
          <w:kern w:val="0"/>
          <w:sz w:val="32"/>
          <w:szCs w:val="32"/>
        </w:rPr>
        <w:t>，现场不提供任何教学器材，选手可自备相应的教学器材。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lastRenderedPageBreak/>
        <w:t>（二）体育专业理论组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．教学设计（</w:t>
      </w:r>
      <w:r>
        <w:rPr>
          <w:rFonts w:eastAsia="仿宋_GB2312"/>
          <w:kern w:val="0"/>
          <w:sz w:val="32"/>
          <w:szCs w:val="32"/>
        </w:rPr>
        <w:t>20</w:t>
      </w:r>
      <w:r>
        <w:rPr>
          <w:rFonts w:eastAsia="仿宋_GB2312"/>
          <w:kern w:val="0"/>
          <w:sz w:val="32"/>
          <w:szCs w:val="32"/>
        </w:rPr>
        <w:t>分）与</w:t>
      </w:r>
      <w:r>
        <w:rPr>
          <w:rFonts w:eastAsia="仿宋_GB2312"/>
          <w:kern w:val="0"/>
          <w:sz w:val="32"/>
          <w:szCs w:val="32"/>
        </w:rPr>
        <w:t>PPT</w:t>
      </w:r>
      <w:r>
        <w:rPr>
          <w:rFonts w:eastAsia="仿宋_GB2312"/>
          <w:kern w:val="0"/>
          <w:sz w:val="32"/>
          <w:szCs w:val="32"/>
        </w:rPr>
        <w:t>制作（</w:t>
      </w:r>
      <w:r>
        <w:rPr>
          <w:rFonts w:eastAsia="仿宋_GB2312"/>
          <w:kern w:val="0"/>
          <w:sz w:val="32"/>
          <w:szCs w:val="32"/>
        </w:rPr>
        <w:t>10</w:t>
      </w:r>
      <w:r>
        <w:rPr>
          <w:rFonts w:eastAsia="仿宋_GB2312"/>
          <w:kern w:val="0"/>
          <w:sz w:val="32"/>
          <w:szCs w:val="32"/>
        </w:rPr>
        <w:t>分）：选手在本次大赛规定的课程范围内（《普通高等学校本科专业类教学质量国家标准》中的</w:t>
      </w:r>
      <w:proofErr w:type="gramStart"/>
      <w:r>
        <w:rPr>
          <w:rFonts w:eastAsia="仿宋_GB2312"/>
          <w:kern w:val="0"/>
          <w:sz w:val="32"/>
          <w:szCs w:val="32"/>
        </w:rPr>
        <w:t>体育学类</w:t>
      </w:r>
      <w:r>
        <w:rPr>
          <w:rFonts w:eastAsia="仿宋_GB2312"/>
          <w:kern w:val="0"/>
          <w:sz w:val="32"/>
          <w:szCs w:val="32"/>
        </w:rPr>
        <w:t>7</w:t>
      </w:r>
      <w:r>
        <w:rPr>
          <w:rFonts w:eastAsia="仿宋_GB2312"/>
          <w:kern w:val="0"/>
          <w:sz w:val="32"/>
          <w:szCs w:val="32"/>
        </w:rPr>
        <w:t>门</w:t>
      </w:r>
      <w:proofErr w:type="gramEnd"/>
      <w:r>
        <w:rPr>
          <w:rFonts w:eastAsia="仿宋_GB2312"/>
          <w:kern w:val="0"/>
          <w:sz w:val="32"/>
          <w:szCs w:val="32"/>
        </w:rPr>
        <w:t>专业类基础课程），根据抽到的比赛内容（具体教学内容在赛前抽签确定），在</w:t>
      </w:r>
      <w:r>
        <w:rPr>
          <w:rFonts w:eastAsia="仿宋_GB2312"/>
          <w:kern w:val="0"/>
          <w:sz w:val="32"/>
          <w:szCs w:val="32"/>
        </w:rPr>
        <w:t>120</w:t>
      </w:r>
      <w:r>
        <w:rPr>
          <w:rFonts w:eastAsia="仿宋_GB2312"/>
          <w:kern w:val="0"/>
          <w:sz w:val="32"/>
          <w:szCs w:val="32"/>
        </w:rPr>
        <w:t>分钟内完成教学设计（手写）和</w:t>
      </w:r>
      <w:r>
        <w:rPr>
          <w:rFonts w:eastAsia="仿宋_GB2312"/>
          <w:kern w:val="0"/>
          <w:sz w:val="32"/>
          <w:szCs w:val="32"/>
        </w:rPr>
        <w:t>PPT</w:t>
      </w:r>
      <w:r>
        <w:rPr>
          <w:rFonts w:eastAsia="仿宋_GB2312"/>
          <w:kern w:val="0"/>
          <w:sz w:val="32"/>
          <w:szCs w:val="32"/>
        </w:rPr>
        <w:t>制作。承办单位提供电脑，制作</w:t>
      </w:r>
      <w:r>
        <w:rPr>
          <w:rFonts w:eastAsia="仿宋_GB2312"/>
          <w:kern w:val="0"/>
          <w:sz w:val="32"/>
          <w:szCs w:val="32"/>
        </w:rPr>
        <w:t>PPT</w:t>
      </w:r>
      <w:r>
        <w:rPr>
          <w:rFonts w:eastAsia="仿宋_GB2312"/>
          <w:kern w:val="0"/>
          <w:sz w:val="32"/>
          <w:szCs w:val="32"/>
        </w:rPr>
        <w:t>时禁止使用网络，否则视为违规，取消比赛资格。评委从教学设计质量和</w:t>
      </w:r>
      <w:r>
        <w:rPr>
          <w:rFonts w:eastAsia="仿宋_GB2312"/>
          <w:kern w:val="0"/>
          <w:sz w:val="32"/>
          <w:szCs w:val="32"/>
        </w:rPr>
        <w:t>PPT</w:t>
      </w:r>
      <w:r>
        <w:rPr>
          <w:rFonts w:eastAsia="仿宋_GB2312"/>
          <w:kern w:val="0"/>
          <w:sz w:val="32"/>
          <w:szCs w:val="32"/>
        </w:rPr>
        <w:t>制作美观度两个方面进行评分，其中教学设计质量占</w:t>
      </w:r>
      <w:r>
        <w:rPr>
          <w:rFonts w:eastAsia="仿宋_GB2312"/>
          <w:kern w:val="0"/>
          <w:sz w:val="32"/>
          <w:szCs w:val="32"/>
        </w:rPr>
        <w:t>70%</w:t>
      </w:r>
      <w:r>
        <w:rPr>
          <w:rFonts w:eastAsia="仿宋_GB2312"/>
          <w:kern w:val="0"/>
          <w:sz w:val="32"/>
          <w:szCs w:val="32"/>
        </w:rPr>
        <w:t>、书写能力占</w:t>
      </w:r>
      <w:r>
        <w:rPr>
          <w:rFonts w:eastAsia="仿宋_GB2312"/>
          <w:kern w:val="0"/>
          <w:sz w:val="32"/>
          <w:szCs w:val="32"/>
        </w:rPr>
        <w:t>30%</w:t>
      </w:r>
      <w:r>
        <w:rPr>
          <w:rFonts w:eastAsia="仿宋_GB2312"/>
          <w:kern w:val="0"/>
          <w:sz w:val="32"/>
          <w:szCs w:val="32"/>
        </w:rPr>
        <w:t>；</w:t>
      </w:r>
      <w:r>
        <w:rPr>
          <w:rFonts w:eastAsia="仿宋_GB2312"/>
          <w:kern w:val="0"/>
          <w:sz w:val="32"/>
          <w:szCs w:val="32"/>
        </w:rPr>
        <w:t>PPT</w:t>
      </w:r>
      <w:r>
        <w:rPr>
          <w:rFonts w:eastAsia="仿宋_GB2312"/>
          <w:kern w:val="0"/>
          <w:sz w:val="32"/>
          <w:szCs w:val="32"/>
        </w:rPr>
        <w:t>质量</w:t>
      </w:r>
      <w:r>
        <w:rPr>
          <w:rFonts w:eastAsia="仿宋_GB2312"/>
          <w:kern w:val="0"/>
          <w:sz w:val="32"/>
          <w:szCs w:val="32"/>
        </w:rPr>
        <w:t>70%</w:t>
      </w:r>
      <w:r>
        <w:rPr>
          <w:rFonts w:eastAsia="仿宋_GB2312"/>
          <w:kern w:val="0"/>
          <w:sz w:val="32"/>
          <w:szCs w:val="32"/>
        </w:rPr>
        <w:t>、整体美观度占</w:t>
      </w:r>
      <w:r>
        <w:rPr>
          <w:rFonts w:eastAsia="仿宋_GB2312"/>
          <w:kern w:val="0"/>
          <w:sz w:val="32"/>
          <w:szCs w:val="32"/>
        </w:rPr>
        <w:t>30%</w:t>
      </w:r>
      <w:r>
        <w:rPr>
          <w:rFonts w:eastAsia="仿宋_GB2312"/>
          <w:kern w:val="0"/>
          <w:sz w:val="32"/>
          <w:szCs w:val="32"/>
        </w:rPr>
        <w:t>。</w:t>
      </w:r>
    </w:p>
    <w:p w:rsidR="0095109E" w:rsidRDefault="0095109E" w:rsidP="0095109E">
      <w:pPr>
        <w:spacing w:line="560" w:lineRule="exact"/>
        <w:ind w:firstLineChars="200" w:firstLine="640"/>
        <w:rPr>
          <w:rFonts w:eastAsia="仿宋"/>
          <w:sz w:val="28"/>
          <w:szCs w:val="28"/>
        </w:rPr>
      </w:pP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．模拟上课（</w:t>
      </w:r>
      <w:r>
        <w:rPr>
          <w:rFonts w:eastAsia="仿宋_GB2312"/>
          <w:kern w:val="0"/>
          <w:sz w:val="32"/>
          <w:szCs w:val="32"/>
        </w:rPr>
        <w:t>70</w:t>
      </w:r>
      <w:r>
        <w:rPr>
          <w:rFonts w:eastAsia="仿宋_GB2312"/>
          <w:kern w:val="0"/>
          <w:sz w:val="32"/>
          <w:szCs w:val="32"/>
        </w:rPr>
        <w:t>分）：比赛时间为</w:t>
      </w:r>
      <w:r>
        <w:rPr>
          <w:rFonts w:eastAsia="仿宋_GB2312"/>
          <w:kern w:val="0"/>
          <w:sz w:val="32"/>
          <w:szCs w:val="32"/>
        </w:rPr>
        <w:t>20</w:t>
      </w:r>
      <w:r>
        <w:rPr>
          <w:rFonts w:eastAsia="仿宋_GB2312"/>
          <w:kern w:val="0"/>
          <w:sz w:val="32"/>
          <w:szCs w:val="32"/>
        </w:rPr>
        <w:t>分钟，</w:t>
      </w:r>
      <w:r>
        <w:rPr>
          <w:rFonts w:eastAsia="仿宋_GB2312"/>
          <w:kern w:val="0"/>
          <w:sz w:val="32"/>
          <w:szCs w:val="32"/>
        </w:rPr>
        <w:t>18</w:t>
      </w:r>
      <w:r>
        <w:rPr>
          <w:rFonts w:eastAsia="仿宋_GB2312"/>
          <w:kern w:val="0"/>
          <w:sz w:val="32"/>
          <w:szCs w:val="32"/>
        </w:rPr>
        <w:t>分钟时评委提醒参赛选手，</w:t>
      </w:r>
      <w:r>
        <w:rPr>
          <w:rFonts w:eastAsia="仿宋_GB2312"/>
          <w:kern w:val="0"/>
          <w:sz w:val="32"/>
          <w:szCs w:val="32"/>
        </w:rPr>
        <w:t>20</w:t>
      </w:r>
      <w:r>
        <w:rPr>
          <w:rFonts w:eastAsia="仿宋_GB2312"/>
          <w:kern w:val="0"/>
          <w:sz w:val="32"/>
          <w:szCs w:val="32"/>
        </w:rPr>
        <w:t>分钟时即终止上课。比赛在多媒体教室进行，根据所制作的</w:t>
      </w:r>
      <w:r>
        <w:rPr>
          <w:rFonts w:eastAsia="仿宋_GB2312"/>
          <w:kern w:val="0"/>
          <w:sz w:val="32"/>
          <w:szCs w:val="32"/>
        </w:rPr>
        <w:t>PPT</w:t>
      </w:r>
      <w:r>
        <w:rPr>
          <w:rFonts w:eastAsia="仿宋_GB2312"/>
          <w:kern w:val="0"/>
          <w:sz w:val="32"/>
          <w:szCs w:val="32"/>
        </w:rPr>
        <w:t>进行授课，无学生，选手可自备相应的教学用具。</w:t>
      </w:r>
    </w:p>
    <w:p w:rsidR="0095109E" w:rsidRDefault="0095109E" w:rsidP="0095109E">
      <w:pPr>
        <w:spacing w:afterLines="50" w:after="156"/>
        <w:jc w:val="center"/>
        <w:rPr>
          <w:rFonts w:eastAsia="仿宋"/>
          <w:sz w:val="28"/>
          <w:szCs w:val="28"/>
        </w:rPr>
      </w:pPr>
      <w:r>
        <w:rPr>
          <w:rFonts w:eastAsia="仿宋"/>
          <w:sz w:val="28"/>
          <w:szCs w:val="28"/>
        </w:rPr>
        <w:t>模拟上课评分标准</w:t>
      </w:r>
    </w:p>
    <w:tbl>
      <w:tblPr>
        <w:tblW w:w="5189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1468"/>
        <w:gridCol w:w="1469"/>
        <w:gridCol w:w="6465"/>
      </w:tblGrid>
      <w:tr w:rsidR="0095109E" w:rsidTr="00FE0531">
        <w:trPr>
          <w:trHeight w:val="567"/>
          <w:jc w:val="center"/>
        </w:trPr>
        <w:tc>
          <w:tcPr>
            <w:tcW w:w="781" w:type="pct"/>
            <w:vAlign w:val="center"/>
          </w:tcPr>
          <w:p w:rsidR="0095109E" w:rsidRDefault="0095109E" w:rsidP="00FE0531">
            <w:pPr>
              <w:spacing w:line="360" w:lineRule="auto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一级指标</w:t>
            </w:r>
          </w:p>
        </w:tc>
        <w:tc>
          <w:tcPr>
            <w:tcW w:w="781" w:type="pct"/>
            <w:vAlign w:val="center"/>
          </w:tcPr>
          <w:p w:rsidR="0095109E" w:rsidRDefault="0095109E" w:rsidP="00FE0531">
            <w:pPr>
              <w:spacing w:line="360" w:lineRule="auto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二级指标</w:t>
            </w:r>
          </w:p>
        </w:tc>
        <w:tc>
          <w:tcPr>
            <w:tcW w:w="3437" w:type="pct"/>
            <w:vAlign w:val="center"/>
          </w:tcPr>
          <w:p w:rsidR="0095109E" w:rsidRDefault="0095109E" w:rsidP="00FE0531">
            <w:pPr>
              <w:spacing w:line="360" w:lineRule="auto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评分要点</w:t>
            </w:r>
          </w:p>
        </w:tc>
      </w:tr>
      <w:tr w:rsidR="0095109E" w:rsidTr="00FE0531">
        <w:trPr>
          <w:trHeight w:val="743"/>
          <w:jc w:val="center"/>
        </w:trPr>
        <w:tc>
          <w:tcPr>
            <w:tcW w:w="781" w:type="pct"/>
            <w:vMerge w:val="restart"/>
            <w:vAlign w:val="center"/>
          </w:tcPr>
          <w:p w:rsidR="0095109E" w:rsidRDefault="0095109E" w:rsidP="00FE0531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理念与目标</w:t>
            </w:r>
          </w:p>
          <w:p w:rsidR="0095109E" w:rsidRDefault="0095109E" w:rsidP="00FE0531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（</w:t>
            </w:r>
            <w:r>
              <w:rPr>
                <w:rFonts w:eastAsia="仿宋"/>
                <w:kern w:val="0"/>
                <w:sz w:val="24"/>
              </w:rPr>
              <w:t>10</w:t>
            </w:r>
            <w:r>
              <w:rPr>
                <w:rFonts w:eastAsia="仿宋"/>
                <w:kern w:val="0"/>
                <w:sz w:val="24"/>
              </w:rPr>
              <w:t>分）</w:t>
            </w:r>
          </w:p>
        </w:tc>
        <w:tc>
          <w:tcPr>
            <w:tcW w:w="781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设计理念</w:t>
            </w:r>
          </w:p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（</w:t>
            </w:r>
            <w:r>
              <w:rPr>
                <w:rFonts w:eastAsia="仿宋"/>
                <w:kern w:val="0"/>
                <w:sz w:val="24"/>
              </w:rPr>
              <w:t>5</w:t>
            </w:r>
            <w:r>
              <w:rPr>
                <w:rFonts w:eastAsia="仿宋"/>
                <w:kern w:val="0"/>
                <w:sz w:val="24"/>
              </w:rPr>
              <w:t>分）</w:t>
            </w:r>
          </w:p>
        </w:tc>
        <w:tc>
          <w:tcPr>
            <w:tcW w:w="3437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left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体育课程设计理念先进，突出学生主体地位，教与学活动有机结合，注重学生全面发展。</w:t>
            </w:r>
          </w:p>
        </w:tc>
      </w:tr>
      <w:tr w:rsidR="0095109E" w:rsidTr="00FE0531">
        <w:trPr>
          <w:trHeight w:val="705"/>
          <w:jc w:val="center"/>
        </w:trPr>
        <w:tc>
          <w:tcPr>
            <w:tcW w:w="781" w:type="pct"/>
            <w:vMerge/>
            <w:vAlign w:val="center"/>
          </w:tcPr>
          <w:p w:rsidR="0095109E" w:rsidRDefault="0095109E" w:rsidP="00FE0531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781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教学目标</w:t>
            </w:r>
          </w:p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（</w:t>
            </w:r>
            <w:r>
              <w:rPr>
                <w:rFonts w:eastAsia="仿宋"/>
                <w:kern w:val="0"/>
                <w:sz w:val="24"/>
              </w:rPr>
              <w:t>5</w:t>
            </w:r>
            <w:r>
              <w:rPr>
                <w:rFonts w:eastAsia="仿宋"/>
                <w:kern w:val="0"/>
                <w:sz w:val="24"/>
              </w:rPr>
              <w:t>分）</w:t>
            </w:r>
          </w:p>
        </w:tc>
        <w:tc>
          <w:tcPr>
            <w:tcW w:w="3437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left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教学目标清晰，表述准确；注重通过技能学习实现体能发展；注重联系专业特点；重视课程思政。</w:t>
            </w:r>
          </w:p>
        </w:tc>
      </w:tr>
      <w:tr w:rsidR="0095109E" w:rsidTr="00FE0531">
        <w:trPr>
          <w:trHeight w:val="375"/>
          <w:jc w:val="center"/>
        </w:trPr>
        <w:tc>
          <w:tcPr>
            <w:tcW w:w="781" w:type="pct"/>
            <w:vMerge w:val="restart"/>
            <w:vAlign w:val="center"/>
          </w:tcPr>
          <w:p w:rsidR="0095109E" w:rsidRDefault="0095109E" w:rsidP="00FE0531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内容与对象</w:t>
            </w:r>
          </w:p>
          <w:p w:rsidR="0095109E" w:rsidRDefault="0095109E" w:rsidP="00FE0531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（</w:t>
            </w:r>
            <w:r>
              <w:rPr>
                <w:rFonts w:eastAsia="仿宋"/>
                <w:kern w:val="0"/>
                <w:sz w:val="24"/>
              </w:rPr>
              <w:t>10</w:t>
            </w:r>
            <w:r>
              <w:rPr>
                <w:rFonts w:eastAsia="仿宋"/>
                <w:kern w:val="0"/>
                <w:sz w:val="24"/>
              </w:rPr>
              <w:t>分）</w:t>
            </w:r>
          </w:p>
        </w:tc>
        <w:tc>
          <w:tcPr>
            <w:tcW w:w="781" w:type="pct"/>
            <w:vMerge w:val="restar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教学内容</w:t>
            </w:r>
          </w:p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（</w:t>
            </w:r>
            <w:r>
              <w:rPr>
                <w:rFonts w:eastAsia="仿宋"/>
                <w:kern w:val="0"/>
                <w:sz w:val="24"/>
              </w:rPr>
              <w:t>5</w:t>
            </w:r>
            <w:r>
              <w:rPr>
                <w:rFonts w:eastAsia="仿宋"/>
                <w:kern w:val="0"/>
                <w:sz w:val="24"/>
              </w:rPr>
              <w:t>分）</w:t>
            </w:r>
          </w:p>
        </w:tc>
        <w:tc>
          <w:tcPr>
            <w:tcW w:w="3437" w:type="pct"/>
            <w:vMerge w:val="restar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left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sz w:val="24"/>
              </w:rPr>
              <w:t>教学内容选择合理</w:t>
            </w:r>
            <w:r>
              <w:rPr>
                <w:rFonts w:eastAsia="仿宋"/>
                <w:kern w:val="0"/>
                <w:sz w:val="24"/>
              </w:rPr>
              <w:t>，</w:t>
            </w:r>
            <w:r>
              <w:rPr>
                <w:rFonts w:eastAsia="仿宋"/>
                <w:sz w:val="24"/>
              </w:rPr>
              <w:t>符合《规程》要求，注重前后教材之间的逻辑关系，</w:t>
            </w:r>
            <w:r>
              <w:rPr>
                <w:rFonts w:eastAsia="仿宋"/>
                <w:kern w:val="0"/>
                <w:sz w:val="24"/>
              </w:rPr>
              <w:t>能体现高校体育课程的新特点；</w:t>
            </w:r>
            <w:r>
              <w:rPr>
                <w:rFonts w:eastAsia="仿宋"/>
                <w:sz w:val="24"/>
              </w:rPr>
              <w:t>教学内容难度适中，容量适宜，重难点把握得当。</w:t>
            </w:r>
          </w:p>
        </w:tc>
      </w:tr>
      <w:tr w:rsidR="0095109E" w:rsidTr="00FE0531">
        <w:trPr>
          <w:trHeight w:val="622"/>
          <w:jc w:val="center"/>
        </w:trPr>
        <w:tc>
          <w:tcPr>
            <w:tcW w:w="781" w:type="pct"/>
            <w:vMerge/>
            <w:vAlign w:val="center"/>
          </w:tcPr>
          <w:p w:rsidR="0095109E" w:rsidRDefault="0095109E" w:rsidP="00FE0531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781" w:type="pct"/>
            <w:vMerge/>
            <w:vAlign w:val="center"/>
          </w:tcPr>
          <w:p w:rsidR="0095109E" w:rsidRDefault="0095109E" w:rsidP="00FE0531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3437" w:type="pct"/>
            <w:vMerge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left"/>
              <w:rPr>
                <w:rFonts w:eastAsia="仿宋"/>
                <w:kern w:val="0"/>
                <w:sz w:val="24"/>
              </w:rPr>
            </w:pPr>
          </w:p>
        </w:tc>
      </w:tr>
      <w:tr w:rsidR="0095109E" w:rsidTr="00FE0531">
        <w:trPr>
          <w:trHeight w:val="690"/>
          <w:jc w:val="center"/>
        </w:trPr>
        <w:tc>
          <w:tcPr>
            <w:tcW w:w="781" w:type="pct"/>
            <w:vMerge/>
            <w:vAlign w:val="center"/>
          </w:tcPr>
          <w:p w:rsidR="0095109E" w:rsidRDefault="0095109E" w:rsidP="00FE0531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781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教学对象</w:t>
            </w:r>
          </w:p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（</w:t>
            </w:r>
            <w:r>
              <w:rPr>
                <w:rFonts w:eastAsia="仿宋"/>
                <w:kern w:val="0"/>
                <w:sz w:val="24"/>
              </w:rPr>
              <w:t>5</w:t>
            </w:r>
            <w:r>
              <w:rPr>
                <w:rFonts w:eastAsia="仿宋"/>
                <w:kern w:val="0"/>
                <w:sz w:val="24"/>
              </w:rPr>
              <w:t>分）</w:t>
            </w:r>
          </w:p>
        </w:tc>
        <w:tc>
          <w:tcPr>
            <w:tcW w:w="3437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left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对教学班的学生结构、专业状况、身心特点、运动技能与素质基础以及差异状况等有正确认识，并据此设计教学；教学班规</w:t>
            </w:r>
            <w:proofErr w:type="gramStart"/>
            <w:r>
              <w:rPr>
                <w:rFonts w:eastAsia="仿宋"/>
                <w:kern w:val="0"/>
                <w:sz w:val="24"/>
              </w:rPr>
              <w:t>模符合</w:t>
            </w:r>
            <w:proofErr w:type="gramEnd"/>
            <w:r>
              <w:rPr>
                <w:rFonts w:eastAsia="仿宋"/>
                <w:kern w:val="0"/>
                <w:sz w:val="24"/>
              </w:rPr>
              <w:t>要求。</w:t>
            </w:r>
          </w:p>
        </w:tc>
      </w:tr>
      <w:tr w:rsidR="0095109E" w:rsidTr="00FE0531">
        <w:trPr>
          <w:trHeight w:val="1030"/>
          <w:jc w:val="center"/>
        </w:trPr>
        <w:tc>
          <w:tcPr>
            <w:tcW w:w="781" w:type="pct"/>
            <w:vMerge w:val="restart"/>
            <w:vAlign w:val="center"/>
          </w:tcPr>
          <w:p w:rsidR="0095109E" w:rsidRDefault="0095109E" w:rsidP="00FE0531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lastRenderedPageBreak/>
              <w:t>策略与方法</w:t>
            </w:r>
          </w:p>
          <w:p w:rsidR="0095109E" w:rsidRDefault="0095109E" w:rsidP="00FE0531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（</w:t>
            </w:r>
            <w:r>
              <w:rPr>
                <w:rFonts w:eastAsia="仿宋"/>
                <w:kern w:val="0"/>
                <w:sz w:val="24"/>
              </w:rPr>
              <w:t>40</w:t>
            </w:r>
            <w:r>
              <w:rPr>
                <w:rFonts w:eastAsia="仿宋"/>
                <w:kern w:val="0"/>
                <w:sz w:val="24"/>
              </w:rPr>
              <w:t>分）</w:t>
            </w:r>
          </w:p>
        </w:tc>
        <w:tc>
          <w:tcPr>
            <w:tcW w:w="781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教学手段</w:t>
            </w:r>
          </w:p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（</w:t>
            </w:r>
            <w:r>
              <w:rPr>
                <w:rFonts w:eastAsia="仿宋"/>
                <w:kern w:val="0"/>
                <w:sz w:val="24"/>
              </w:rPr>
              <w:t>10</w:t>
            </w:r>
            <w:r>
              <w:rPr>
                <w:rFonts w:eastAsia="仿宋"/>
                <w:kern w:val="0"/>
                <w:sz w:val="24"/>
              </w:rPr>
              <w:t>分）</w:t>
            </w:r>
          </w:p>
        </w:tc>
        <w:tc>
          <w:tcPr>
            <w:tcW w:w="3437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left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教学手段的选择与运用合理，有利于重点难点解决和教学目标的达成；能正确使用现代教学手段，辅助教学效果好。</w:t>
            </w:r>
          </w:p>
        </w:tc>
      </w:tr>
      <w:tr w:rsidR="0095109E" w:rsidTr="00FE0531">
        <w:trPr>
          <w:trHeight w:val="1020"/>
          <w:jc w:val="center"/>
        </w:trPr>
        <w:tc>
          <w:tcPr>
            <w:tcW w:w="781" w:type="pct"/>
            <w:vMerge/>
            <w:vAlign w:val="center"/>
          </w:tcPr>
          <w:p w:rsidR="0095109E" w:rsidRDefault="0095109E" w:rsidP="00FE0531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781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教学方法</w:t>
            </w:r>
          </w:p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（</w:t>
            </w:r>
            <w:r>
              <w:rPr>
                <w:rFonts w:eastAsia="仿宋"/>
                <w:kern w:val="0"/>
                <w:sz w:val="24"/>
              </w:rPr>
              <w:t>10</w:t>
            </w:r>
            <w:r>
              <w:rPr>
                <w:rFonts w:eastAsia="仿宋"/>
                <w:kern w:val="0"/>
                <w:sz w:val="24"/>
              </w:rPr>
              <w:t>分）</w:t>
            </w:r>
          </w:p>
        </w:tc>
        <w:tc>
          <w:tcPr>
            <w:tcW w:w="3437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left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sz w:val="24"/>
              </w:rPr>
              <w:t>教学模式的设计和教学方法的选择符合内容特点和学生的实际</w:t>
            </w:r>
            <w:r>
              <w:rPr>
                <w:rFonts w:eastAsia="仿宋"/>
                <w:kern w:val="0"/>
                <w:sz w:val="24"/>
              </w:rPr>
              <w:t>；学习指导重点突出，注重差异教学和个别指导；注重激发学生的学习动机和兴趣，正确运用评价、激励等教学方法。</w:t>
            </w:r>
          </w:p>
        </w:tc>
      </w:tr>
      <w:tr w:rsidR="0095109E" w:rsidTr="00FE0531">
        <w:trPr>
          <w:trHeight w:val="743"/>
          <w:jc w:val="center"/>
        </w:trPr>
        <w:tc>
          <w:tcPr>
            <w:tcW w:w="781" w:type="pct"/>
            <w:vMerge/>
            <w:vAlign w:val="center"/>
          </w:tcPr>
          <w:p w:rsidR="0095109E" w:rsidRDefault="0095109E" w:rsidP="00FE0531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781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教学流程</w:t>
            </w:r>
          </w:p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（</w:t>
            </w:r>
            <w:r>
              <w:rPr>
                <w:rFonts w:eastAsia="仿宋"/>
                <w:kern w:val="0"/>
                <w:sz w:val="24"/>
              </w:rPr>
              <w:t>10</w:t>
            </w:r>
            <w:r>
              <w:rPr>
                <w:rFonts w:eastAsia="仿宋"/>
                <w:kern w:val="0"/>
                <w:sz w:val="24"/>
              </w:rPr>
              <w:t>分）</w:t>
            </w:r>
          </w:p>
        </w:tc>
        <w:tc>
          <w:tcPr>
            <w:tcW w:w="3437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lef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总体设计思路清晰，结构合理、完整；各环节衔接自然，时间安排恰当；教与学的活动进行流畅，时间把控准确。</w:t>
            </w:r>
          </w:p>
        </w:tc>
      </w:tr>
      <w:tr w:rsidR="0095109E" w:rsidTr="00FE0531">
        <w:trPr>
          <w:trHeight w:val="1030"/>
          <w:jc w:val="center"/>
        </w:trPr>
        <w:tc>
          <w:tcPr>
            <w:tcW w:w="781" w:type="pct"/>
            <w:vMerge/>
            <w:vAlign w:val="center"/>
          </w:tcPr>
          <w:p w:rsidR="0095109E" w:rsidRDefault="0095109E" w:rsidP="00FE0531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781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教学组织</w:t>
            </w:r>
          </w:p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（</w:t>
            </w:r>
            <w:r>
              <w:rPr>
                <w:rFonts w:eastAsia="仿宋"/>
                <w:kern w:val="0"/>
                <w:sz w:val="24"/>
              </w:rPr>
              <w:t>10</w:t>
            </w:r>
            <w:r>
              <w:rPr>
                <w:rFonts w:eastAsia="仿宋"/>
                <w:kern w:val="0"/>
                <w:sz w:val="24"/>
              </w:rPr>
              <w:t>分）</w:t>
            </w:r>
          </w:p>
        </w:tc>
        <w:tc>
          <w:tcPr>
            <w:tcW w:w="3437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left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正确表达</w:t>
            </w:r>
            <w:proofErr w:type="gramStart"/>
            <w:r>
              <w:rPr>
                <w:rFonts w:eastAsia="仿宋"/>
                <w:kern w:val="0"/>
                <w:sz w:val="24"/>
              </w:rPr>
              <w:t>出教学</w:t>
            </w:r>
            <w:proofErr w:type="gramEnd"/>
            <w:r>
              <w:rPr>
                <w:rFonts w:eastAsia="仿宋"/>
                <w:kern w:val="0"/>
                <w:sz w:val="24"/>
              </w:rPr>
              <w:t>分组与队列和体操队形运用，符合内容、教学对象特点和教学需要；口令指挥得当；能根据需要正确使用体育骨干；正确使用和布置场地器材与辅助器材。</w:t>
            </w:r>
          </w:p>
        </w:tc>
      </w:tr>
      <w:tr w:rsidR="0095109E" w:rsidTr="00FE0531">
        <w:trPr>
          <w:trHeight w:val="742"/>
          <w:jc w:val="center"/>
        </w:trPr>
        <w:tc>
          <w:tcPr>
            <w:tcW w:w="781" w:type="pct"/>
            <w:vMerge w:val="restart"/>
            <w:vAlign w:val="center"/>
          </w:tcPr>
          <w:p w:rsidR="0095109E" w:rsidRDefault="0095109E" w:rsidP="00FE0531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能力与素质</w:t>
            </w:r>
          </w:p>
          <w:p w:rsidR="0095109E" w:rsidRDefault="0095109E" w:rsidP="00FE0531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（</w:t>
            </w:r>
            <w:r>
              <w:rPr>
                <w:rFonts w:eastAsia="仿宋"/>
                <w:kern w:val="0"/>
                <w:sz w:val="24"/>
              </w:rPr>
              <w:t>30</w:t>
            </w:r>
            <w:r>
              <w:rPr>
                <w:rFonts w:eastAsia="仿宋"/>
                <w:kern w:val="0"/>
                <w:sz w:val="24"/>
              </w:rPr>
              <w:t>分）</w:t>
            </w:r>
          </w:p>
        </w:tc>
        <w:tc>
          <w:tcPr>
            <w:tcW w:w="781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讲解示范</w:t>
            </w:r>
          </w:p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（</w:t>
            </w:r>
            <w:r>
              <w:rPr>
                <w:rFonts w:eastAsia="仿宋"/>
                <w:kern w:val="0"/>
                <w:sz w:val="24"/>
              </w:rPr>
              <w:t>10</w:t>
            </w:r>
            <w:r>
              <w:rPr>
                <w:rFonts w:eastAsia="仿宋"/>
                <w:kern w:val="0"/>
                <w:sz w:val="24"/>
              </w:rPr>
              <w:t>分）</w:t>
            </w:r>
          </w:p>
        </w:tc>
        <w:tc>
          <w:tcPr>
            <w:tcW w:w="3437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left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教学讲解正确规范，时机把握得当，表达自然，体态语言运用合理；能以正确的方式示范动作，动作正确优美；讲解示范结合运用恰当。</w:t>
            </w:r>
          </w:p>
        </w:tc>
      </w:tr>
      <w:tr w:rsidR="0095109E" w:rsidTr="00FE0531">
        <w:trPr>
          <w:trHeight w:val="705"/>
          <w:jc w:val="center"/>
        </w:trPr>
        <w:tc>
          <w:tcPr>
            <w:tcW w:w="781" w:type="pct"/>
            <w:vMerge/>
            <w:vAlign w:val="center"/>
          </w:tcPr>
          <w:p w:rsidR="0095109E" w:rsidRDefault="0095109E" w:rsidP="00FE0531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781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综合表现</w:t>
            </w:r>
          </w:p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（</w:t>
            </w:r>
            <w:r>
              <w:rPr>
                <w:rFonts w:eastAsia="仿宋"/>
                <w:kern w:val="0"/>
                <w:sz w:val="24"/>
              </w:rPr>
              <w:t>10</w:t>
            </w:r>
            <w:r>
              <w:rPr>
                <w:rFonts w:eastAsia="仿宋"/>
                <w:kern w:val="0"/>
                <w:sz w:val="24"/>
              </w:rPr>
              <w:t>分）</w:t>
            </w:r>
          </w:p>
        </w:tc>
        <w:tc>
          <w:tcPr>
            <w:tcW w:w="3437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left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教师语言规范，简练准确，逻辑性强，富有感染力；</w:t>
            </w:r>
            <w:proofErr w:type="gramStart"/>
            <w:r>
              <w:rPr>
                <w:rFonts w:eastAsia="仿宋"/>
                <w:kern w:val="0"/>
                <w:sz w:val="24"/>
              </w:rPr>
              <w:t>教态自然</w:t>
            </w:r>
            <w:proofErr w:type="gramEnd"/>
            <w:r>
              <w:rPr>
                <w:rFonts w:eastAsia="仿宋"/>
                <w:kern w:val="0"/>
                <w:sz w:val="24"/>
              </w:rPr>
              <w:t>大方；对教学过程的把控能力强，能灵活机智处理教学过程中出现的问题。</w:t>
            </w:r>
          </w:p>
        </w:tc>
      </w:tr>
      <w:tr w:rsidR="0095109E" w:rsidTr="00FE0531">
        <w:trPr>
          <w:trHeight w:val="1072"/>
          <w:jc w:val="center"/>
        </w:trPr>
        <w:tc>
          <w:tcPr>
            <w:tcW w:w="781" w:type="pct"/>
            <w:vMerge/>
            <w:vAlign w:val="center"/>
          </w:tcPr>
          <w:p w:rsidR="0095109E" w:rsidRDefault="0095109E" w:rsidP="00FE0531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781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课程思政</w:t>
            </w:r>
          </w:p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（</w:t>
            </w:r>
            <w:r>
              <w:rPr>
                <w:rFonts w:eastAsia="仿宋"/>
                <w:kern w:val="0"/>
                <w:sz w:val="24"/>
              </w:rPr>
              <w:t>10</w:t>
            </w:r>
            <w:r>
              <w:rPr>
                <w:rFonts w:eastAsia="仿宋"/>
                <w:kern w:val="0"/>
                <w:sz w:val="24"/>
              </w:rPr>
              <w:t>分）</w:t>
            </w:r>
          </w:p>
        </w:tc>
        <w:tc>
          <w:tcPr>
            <w:tcW w:w="3437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left"/>
              <w:rPr>
                <w:rFonts w:eastAsia="仿宋"/>
                <w:kern w:val="0"/>
                <w:sz w:val="24"/>
              </w:rPr>
            </w:pPr>
            <w:proofErr w:type="gramStart"/>
            <w:r>
              <w:rPr>
                <w:rFonts w:eastAsia="仿宋"/>
                <w:kern w:val="0"/>
                <w:sz w:val="24"/>
              </w:rPr>
              <w:t>课程思政融入</w:t>
            </w:r>
            <w:proofErr w:type="gramEnd"/>
            <w:r>
              <w:rPr>
                <w:rFonts w:eastAsia="仿宋"/>
                <w:kern w:val="0"/>
                <w:sz w:val="24"/>
              </w:rPr>
              <w:t>教学自然合理，</w:t>
            </w:r>
            <w:r>
              <w:rPr>
                <w:rFonts w:eastAsia="仿宋"/>
                <w:sz w:val="24"/>
              </w:rPr>
              <w:t>润物无声，</w:t>
            </w:r>
            <w:r>
              <w:rPr>
                <w:rFonts w:eastAsia="仿宋"/>
                <w:kern w:val="0"/>
                <w:sz w:val="24"/>
              </w:rPr>
              <w:t>立德树人效果显著。</w:t>
            </w:r>
          </w:p>
        </w:tc>
      </w:tr>
      <w:tr w:rsidR="0095109E" w:rsidTr="00FE0531">
        <w:trPr>
          <w:trHeight w:val="1068"/>
          <w:jc w:val="center"/>
        </w:trPr>
        <w:tc>
          <w:tcPr>
            <w:tcW w:w="781" w:type="pct"/>
            <w:vMerge w:val="restart"/>
            <w:vAlign w:val="center"/>
          </w:tcPr>
          <w:p w:rsidR="0095109E" w:rsidRDefault="0095109E" w:rsidP="00FE0531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效果与特色</w:t>
            </w:r>
          </w:p>
          <w:p w:rsidR="0095109E" w:rsidRDefault="0095109E" w:rsidP="00FE0531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（</w:t>
            </w:r>
            <w:r>
              <w:rPr>
                <w:rFonts w:eastAsia="仿宋"/>
                <w:kern w:val="0"/>
                <w:sz w:val="24"/>
              </w:rPr>
              <w:t>10</w:t>
            </w:r>
            <w:r>
              <w:rPr>
                <w:rFonts w:eastAsia="仿宋"/>
                <w:kern w:val="0"/>
                <w:sz w:val="24"/>
              </w:rPr>
              <w:t>分）</w:t>
            </w:r>
          </w:p>
        </w:tc>
        <w:tc>
          <w:tcPr>
            <w:tcW w:w="781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教学效果</w:t>
            </w:r>
          </w:p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（</w:t>
            </w:r>
            <w:r>
              <w:rPr>
                <w:rFonts w:eastAsia="仿宋"/>
                <w:kern w:val="0"/>
                <w:sz w:val="24"/>
              </w:rPr>
              <w:t>5</w:t>
            </w:r>
            <w:r>
              <w:rPr>
                <w:rFonts w:eastAsia="仿宋"/>
                <w:kern w:val="0"/>
                <w:sz w:val="24"/>
              </w:rPr>
              <w:t>分）</w:t>
            </w:r>
          </w:p>
        </w:tc>
        <w:tc>
          <w:tcPr>
            <w:tcW w:w="3437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left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注重过程评价，客观反映学生的学习状态；教学过程形象生动，趣味性和启发性强，教学氛围的营造有利于提升学生学习的积极主动性。能有效完成教学目标，解决实际教学中的重点难点问题；能完整有效展示教学能力。</w:t>
            </w:r>
          </w:p>
        </w:tc>
      </w:tr>
      <w:tr w:rsidR="0095109E" w:rsidTr="00FE0531">
        <w:trPr>
          <w:trHeight w:val="738"/>
          <w:jc w:val="center"/>
        </w:trPr>
        <w:tc>
          <w:tcPr>
            <w:tcW w:w="781" w:type="pct"/>
            <w:vMerge/>
            <w:vAlign w:val="center"/>
          </w:tcPr>
          <w:p w:rsidR="0095109E" w:rsidRDefault="0095109E" w:rsidP="00FE0531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781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特色创新</w:t>
            </w:r>
          </w:p>
          <w:p w:rsidR="0095109E" w:rsidRDefault="0095109E" w:rsidP="00FE0531">
            <w:pPr>
              <w:widowControl/>
              <w:spacing w:line="336" w:lineRule="exact"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（</w:t>
            </w:r>
            <w:r>
              <w:rPr>
                <w:rFonts w:eastAsia="仿宋"/>
                <w:kern w:val="0"/>
                <w:sz w:val="24"/>
              </w:rPr>
              <w:t>5</w:t>
            </w:r>
            <w:r>
              <w:rPr>
                <w:rFonts w:eastAsia="仿宋"/>
                <w:kern w:val="0"/>
                <w:sz w:val="24"/>
              </w:rPr>
              <w:t>分）</w:t>
            </w:r>
          </w:p>
        </w:tc>
        <w:tc>
          <w:tcPr>
            <w:tcW w:w="3437" w:type="pct"/>
            <w:vAlign w:val="center"/>
          </w:tcPr>
          <w:p w:rsidR="0095109E" w:rsidRDefault="0095109E" w:rsidP="00FE0531">
            <w:pPr>
              <w:widowControl/>
              <w:spacing w:line="336" w:lineRule="exact"/>
              <w:jc w:val="left"/>
              <w:rPr>
                <w:rFonts w:eastAsia="仿宋"/>
                <w:kern w:val="0"/>
                <w:sz w:val="24"/>
              </w:rPr>
            </w:pPr>
            <w:r>
              <w:rPr>
                <w:rFonts w:eastAsia="仿宋"/>
                <w:kern w:val="0"/>
                <w:sz w:val="24"/>
              </w:rPr>
              <w:t>注重教学创新，含结构、教学模式、方法、组织形式以及表达方式等创新。</w:t>
            </w:r>
          </w:p>
        </w:tc>
      </w:tr>
    </w:tbl>
    <w:p w:rsidR="0095109E" w:rsidRDefault="0095109E" w:rsidP="0095109E">
      <w:pPr>
        <w:spacing w:line="240" w:lineRule="atLeast"/>
        <w:jc w:val="left"/>
        <w:rPr>
          <w:rFonts w:eastAsia="仿宋"/>
          <w:sz w:val="10"/>
          <w:szCs w:val="10"/>
        </w:rPr>
      </w:pPr>
    </w:p>
    <w:p w:rsidR="009130AC" w:rsidRPr="0095109E" w:rsidRDefault="009130AC"/>
    <w:sectPr w:rsidR="009130AC" w:rsidRPr="0095109E" w:rsidSect="009112C2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5F8D" w:rsidRDefault="00A95F8D" w:rsidP="0095109E">
      <w:r>
        <w:separator/>
      </w:r>
    </w:p>
  </w:endnote>
  <w:endnote w:type="continuationSeparator" w:id="0">
    <w:p w:rsidR="00A95F8D" w:rsidRDefault="00A95F8D" w:rsidP="009510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5F8D" w:rsidRDefault="00A95F8D" w:rsidP="0095109E">
      <w:r>
        <w:separator/>
      </w:r>
    </w:p>
  </w:footnote>
  <w:footnote w:type="continuationSeparator" w:id="0">
    <w:p w:rsidR="00A95F8D" w:rsidRDefault="00A95F8D" w:rsidP="009510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0026"/>
    <w:rsid w:val="00310026"/>
    <w:rsid w:val="009112C2"/>
    <w:rsid w:val="009130AC"/>
    <w:rsid w:val="0095109E"/>
    <w:rsid w:val="00A95F8D"/>
    <w:rsid w:val="00D20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109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510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510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5109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5109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109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510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510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5109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5109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427</Words>
  <Characters>2437</Characters>
  <Application>Microsoft Office Word</Application>
  <DocSecurity>0</DocSecurity>
  <Lines>20</Lines>
  <Paragraphs>5</Paragraphs>
  <ScaleCrop>false</ScaleCrop>
  <Company>JSJYT</Company>
  <LinksUpToDate>false</LinksUpToDate>
  <CharactersWithSpaces>2859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2023-12-13T03:15:00Z</dcterms:created>
  <dcterms:modified xsi:type="dcterms:W3CDTF">2023-12-13T03:16:00Z</dcterms:modified>
</cp:coreProperties>
</file>