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beforeLines="0" w:afterLines="0" w:line="560" w:lineRule="exact"/>
        <w:ind w:right="0" w:rightChars="0" w:firstLine="0" w:firstLineChars="0"/>
        <w:rPr>
          <w:rFonts w:hint="eastAsia" w:ascii="Times New Roman" w:hAnsi="Times New Roman" w:eastAsia="黑体" w:cs="Times New Roman"/>
          <w:bCs/>
          <w:sz w:val="32"/>
          <w:szCs w:val="32"/>
          <w:shd w:val="clear"/>
          <w:lang w:val="en-US" w:eastAsia="zh-CN"/>
        </w:rPr>
      </w:pPr>
      <w:r>
        <w:rPr>
          <w:rFonts w:hint="default" w:ascii="Times New Roman" w:hAnsi="Times New Roman" w:eastAsia="黑体" w:cs="Times New Roman"/>
          <w:bCs/>
          <w:sz w:val="32"/>
          <w:szCs w:val="32"/>
          <w:shd w:val="clear"/>
          <w:lang w:val="en-US" w:eastAsia="zh-Hans"/>
        </w:rPr>
        <w:t>附件</w:t>
      </w:r>
      <w:r>
        <w:rPr>
          <w:rFonts w:hint="eastAsia" w:ascii="Times New Roman" w:hAnsi="Times New Roman" w:eastAsia="黑体" w:cs="Times New Roman"/>
          <w:bCs/>
          <w:sz w:val="32"/>
          <w:szCs w:val="32"/>
          <w:shd w:val="clear"/>
          <w:lang w:val="en-US" w:eastAsia="zh-CN"/>
        </w:rPr>
        <w:t>1</w:t>
      </w:r>
    </w:p>
    <w:p>
      <w:pPr>
        <w:pStyle w:val="6"/>
        <w:widowControl/>
        <w:numPr>
          <w:ilvl w:val="255"/>
          <w:numId w:val="0"/>
        </w:numPr>
        <w:spacing w:beforeAutospacing="0" w:after="0" w:afterLines="0" w:afterAutospacing="0" w:line="600" w:lineRule="exact"/>
        <w:jc w:val="right"/>
        <w:rPr>
          <w:rFonts w:hint="default" w:ascii="Times New Roman" w:hAnsi="Times New Roman" w:eastAsia="仿宋_GB2312"/>
          <w:color w:val="000000" w:themeColor="text1"/>
          <w:sz w:val="30"/>
          <w:szCs w:val="30"/>
          <w14:textFill>
            <w14:solidFill>
              <w14:schemeClr w14:val="tx1"/>
            </w14:solidFill>
          </w14:textFill>
        </w:rPr>
      </w:pPr>
    </w:p>
    <w:p>
      <w:pPr>
        <w:pStyle w:val="6"/>
        <w:widowControl/>
        <w:numPr>
          <w:ilvl w:val="255"/>
          <w:numId w:val="0"/>
        </w:numPr>
        <w:spacing w:beforeAutospacing="0" w:after="0" w:afterLines="0" w:afterAutospacing="0" w:line="600" w:lineRule="exact"/>
        <w:jc w:val="right"/>
        <w:rPr>
          <w:rFonts w:hint="default" w:ascii="Times New Roman" w:hAnsi="Times New Roman" w:eastAsia="仿宋_GB2312"/>
          <w:color w:val="000000" w:themeColor="text1"/>
          <w:sz w:val="30"/>
          <w:szCs w:val="30"/>
          <w14:textFill>
            <w14:solidFill>
              <w14:schemeClr w14:val="tx1"/>
            </w14:solidFill>
          </w14:textFill>
        </w:rPr>
      </w:pPr>
      <w:r>
        <w:rPr>
          <w:rFonts w:hint="default" w:ascii="Times New Roman" w:hAnsi="Times New Roman" w:eastAsia="仿宋_GB2312"/>
          <w:color w:val="000000" w:themeColor="text1"/>
          <w:sz w:val="30"/>
          <w:szCs w:val="30"/>
          <w14:textFill>
            <w14:solidFill>
              <w14:schemeClr w14:val="tx1"/>
            </w14:solidFill>
          </w14:textFill>
        </w:rPr>
        <w:t>教职成</w:t>
      </w:r>
      <w:r>
        <w:rPr>
          <w:rFonts w:hint="eastAsia" w:ascii="Times New Roman" w:hAnsi="Times New Roman" w:eastAsia="仿宋_GB2312"/>
          <w:color w:val="000000" w:themeColor="text1"/>
          <w:sz w:val="30"/>
          <w:szCs w:val="30"/>
          <w:lang w:val="en-US" w:eastAsia="zh-CN"/>
          <w14:textFill>
            <w14:solidFill>
              <w14:schemeClr w14:val="tx1"/>
            </w14:solidFill>
          </w14:textFill>
        </w:rPr>
        <w:t>厅</w:t>
      </w:r>
      <w:r>
        <w:rPr>
          <w:rFonts w:hint="default" w:ascii="Times New Roman" w:hAnsi="Times New Roman" w:eastAsia="仿宋_GB2312"/>
          <w:color w:val="000000" w:themeColor="text1"/>
          <w:sz w:val="30"/>
          <w:szCs w:val="30"/>
          <w14:textFill>
            <w14:solidFill>
              <w14:schemeClr w14:val="tx1"/>
            </w14:solidFill>
          </w14:textFill>
        </w:rPr>
        <w:t>函〔202</w:t>
      </w:r>
      <w:r>
        <w:rPr>
          <w:rFonts w:hint="eastAsia" w:ascii="Times New Roman" w:hAnsi="Times New Roman" w:eastAsia="仿宋_GB2312"/>
          <w:color w:val="000000" w:themeColor="text1"/>
          <w:sz w:val="30"/>
          <w:szCs w:val="30"/>
          <w:lang w:val="en-US" w:eastAsia="zh-CN"/>
          <w14:textFill>
            <w14:solidFill>
              <w14:schemeClr w14:val="tx1"/>
            </w14:solidFill>
          </w14:textFill>
        </w:rPr>
        <w:t>5</w:t>
      </w:r>
      <w:r>
        <w:rPr>
          <w:rFonts w:hint="default" w:ascii="Times New Roman" w:hAnsi="Times New Roman" w:eastAsia="仿宋_GB2312"/>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0"/>
          <w:lang w:val="en-US" w:eastAsia="zh-CN"/>
          <w14:textFill>
            <w14:solidFill>
              <w14:schemeClr w14:val="tx1"/>
            </w14:solidFill>
          </w14:textFill>
        </w:rPr>
        <w:t>3</w:t>
      </w:r>
      <w:r>
        <w:rPr>
          <w:rFonts w:hint="default" w:ascii="Times New Roman" w:hAnsi="Times New Roman" w:eastAsia="仿宋_GB2312"/>
          <w:color w:val="000000" w:themeColor="text1"/>
          <w:sz w:val="30"/>
          <w:szCs w:val="30"/>
          <w14:textFill>
            <w14:solidFill>
              <w14:schemeClr w14:val="tx1"/>
            </w14:solidFill>
          </w14:textFill>
        </w:rPr>
        <w:t>号</w:t>
      </w:r>
    </w:p>
    <w:p>
      <w:pPr>
        <w:pStyle w:val="6"/>
        <w:widowControl/>
        <w:numPr>
          <w:ilvl w:val="255"/>
          <w:numId w:val="0"/>
        </w:numPr>
        <w:spacing w:beforeAutospacing="0" w:after="0" w:afterLines="0" w:afterAutospacing="0" w:line="600" w:lineRule="exact"/>
        <w:jc w:val="right"/>
        <w:rPr>
          <w:rFonts w:ascii="Times New Roman" w:hAnsi="Times New Roman" w:eastAsia="仿宋_GB2312" w:cs="Times New Roman"/>
          <w:color w:val="000000" w:themeColor="text1"/>
          <w:sz w:val="30"/>
          <w:szCs w:val="30"/>
          <w:shd w:val="clear" w:color="auto" w:fill="auto"/>
          <w14:textFill>
            <w14:solidFill>
              <w14:schemeClr w14:val="tx1"/>
            </w14:solidFill>
          </w14:textFill>
        </w:rPr>
      </w:pPr>
    </w:p>
    <w:p>
      <w:pPr>
        <w:pStyle w:val="6"/>
        <w:widowControl/>
        <w:numPr>
          <w:ilvl w:val="255"/>
          <w:numId w:val="0"/>
        </w:numPr>
        <w:spacing w:beforeAutospacing="0" w:after="0" w:afterLines="0" w:afterAutospacing="0" w:line="600" w:lineRule="exact"/>
        <w:jc w:val="center"/>
        <w:rPr>
          <w:rFonts w:hint="default" w:ascii="Times New Roman" w:hAnsi="Times New Roman" w:eastAsia="方正小标宋简体" w:cs="Times New Roman"/>
          <w:color w:val="000000" w:themeColor="text1"/>
          <w:sz w:val="44"/>
          <w:szCs w:val="44"/>
          <w:shd w:val="clear" w:color="auto" w:fill="FFFFFF"/>
          <w14:textFill>
            <w14:solidFill>
              <w14:schemeClr w14:val="tx1"/>
            </w14:solidFill>
          </w14:textFill>
        </w:rPr>
      </w:pPr>
      <w:r>
        <w:rPr>
          <w:rFonts w:hint="eastAsia" w:ascii="Times New Roman" w:hAnsi="Times New Roman" w:eastAsia="方正小标宋简体" w:cs="Times New Roman"/>
          <w:color w:val="000000" w:themeColor="text1"/>
          <w:sz w:val="44"/>
          <w:szCs w:val="44"/>
          <w:shd w:val="clear" w:color="auto" w:fill="FFFFFF"/>
          <w:lang w:val="en-US" w:eastAsia="zh-CN"/>
          <w14:textFill>
            <w14:solidFill>
              <w14:schemeClr w14:val="tx1"/>
            </w14:solidFill>
          </w14:textFill>
        </w:rPr>
        <w:t>教育部办公厅</w:t>
      </w:r>
      <w:r>
        <w:rPr>
          <w:rFonts w:hint="default" w:ascii="Times New Roman" w:hAnsi="Times New Roman" w:eastAsia="方正小标宋简体" w:cs="Times New Roman"/>
          <w:color w:val="000000" w:themeColor="text1"/>
          <w:sz w:val="44"/>
          <w:szCs w:val="44"/>
          <w:shd w:val="clear" w:color="auto" w:fill="FFFFFF"/>
          <w14:textFill>
            <w14:solidFill>
              <w14:schemeClr w14:val="tx1"/>
            </w14:solidFill>
          </w14:textFill>
        </w:rPr>
        <w:t>关于做好2025年度高等学历继续教育专业和校外教学点设置</w:t>
      </w:r>
    </w:p>
    <w:p>
      <w:pPr>
        <w:pStyle w:val="6"/>
        <w:widowControl/>
        <w:numPr>
          <w:ilvl w:val="255"/>
          <w:numId w:val="0"/>
        </w:numPr>
        <w:spacing w:beforeAutospacing="0" w:after="0" w:afterLines="0" w:afterAutospacing="0" w:line="600" w:lineRule="exact"/>
        <w:jc w:val="center"/>
        <w:rPr>
          <w:rFonts w:ascii="Times New Roman" w:hAnsi="Times New Roman" w:eastAsia="方正小标宋简体" w:cs="Times New Roman"/>
          <w:color w:val="000000" w:themeColor="text1"/>
          <w:sz w:val="44"/>
          <w:szCs w:val="44"/>
          <w:shd w:val="clear" w:color="auto" w:fill="FFFFFF"/>
          <w14:textFill>
            <w14:solidFill>
              <w14:schemeClr w14:val="tx1"/>
            </w14:solidFill>
          </w14:textFill>
        </w:rPr>
      </w:pPr>
      <w:r>
        <w:rPr>
          <w:rFonts w:hint="default" w:ascii="Times New Roman" w:hAnsi="Times New Roman" w:eastAsia="方正小标宋简体" w:cs="Times New Roman"/>
          <w:color w:val="000000" w:themeColor="text1"/>
          <w:sz w:val="44"/>
          <w:szCs w:val="44"/>
          <w:shd w:val="clear" w:color="auto" w:fill="FFFFFF"/>
          <w14:textFill>
            <w14:solidFill>
              <w14:schemeClr w14:val="tx1"/>
            </w14:solidFill>
          </w14:textFill>
        </w:rPr>
        <w:t>与管理工作的通知</w:t>
      </w:r>
    </w:p>
    <w:p>
      <w:pPr>
        <w:numPr>
          <w:ilvl w:val="255"/>
          <w:numId w:val="0"/>
        </w:numPr>
        <w:spacing w:afterLines="0" w:line="600" w:lineRule="exact"/>
        <w:ind w:firstLine="600" w:firstLineChars="200"/>
        <w:jc w:val="center"/>
        <w:rPr>
          <w:rFonts w:ascii="Times New Roman" w:hAnsi="Times New Roman" w:eastAsia="仿宋_GB2312" w:cs="Times New Roman"/>
          <w:color w:val="000000" w:themeColor="text1"/>
          <w:sz w:val="30"/>
          <w:szCs w:val="30"/>
          <w14:textFill>
            <w14:solidFill>
              <w14:schemeClr w14:val="tx1"/>
            </w14:solidFill>
          </w14:textFill>
        </w:rPr>
      </w:pPr>
    </w:p>
    <w:p>
      <w:pPr>
        <w:numPr>
          <w:ilvl w:val="255"/>
          <w:numId w:val="0"/>
        </w:numPr>
        <w:spacing w:afterLines="0" w:line="600" w:lineRule="exact"/>
        <w:rPr>
          <w:rFonts w:hint="eastAsia"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各省、自治区、直辖市教育厅</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教委</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，新疆生产建设兵团教育局，有关部门</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单位</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教育司</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局</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，部属各高等学校、部省合建各高等学校，有关直属单位</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为深入贯彻</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落实</w:t>
      </w:r>
      <w:r>
        <w:rPr>
          <w:rFonts w:hint="default" w:ascii="Times New Roman" w:hAnsi="Times New Roman" w:eastAsia="仿宋_GB2312" w:cs="Times New Roman"/>
          <w:color w:val="000000" w:themeColor="text1"/>
          <w:sz w:val="32"/>
          <w:szCs w:val="32"/>
          <w14:textFill>
            <w14:solidFill>
              <w14:schemeClr w14:val="tx1"/>
            </w14:solidFill>
          </w14:textFill>
        </w:rPr>
        <w:t>党的二十届三中全会精神和全国教育大会精神</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深化高等学历继续教育改革，加快建设泛在可及的终身教育体系，</w:t>
      </w:r>
      <w:r>
        <w:rPr>
          <w:rFonts w:hint="default" w:ascii="Times New Roman" w:hAnsi="Times New Roman" w:eastAsia="仿宋_GB2312" w:cs="Times New Roman"/>
          <w:color w:val="000000" w:themeColor="text1"/>
          <w:sz w:val="32"/>
          <w:szCs w:val="32"/>
          <w14:textFill>
            <w14:solidFill>
              <w14:schemeClr w14:val="tx1"/>
            </w14:solidFill>
          </w14:textFill>
        </w:rPr>
        <w:t>现就做好202</w:t>
      </w:r>
      <w:r>
        <w:rPr>
          <w:rFonts w:ascii="Times New Roman" w:hAnsi="Times New Roman" w:eastAsia="仿宋_GB2312" w:cs="Times New Roman"/>
          <w:color w:val="000000" w:themeColor="text1"/>
          <w:sz w:val="32"/>
          <w:szCs w:val="32"/>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年度高等学历继续教育专业和校外教学点设置与管理工作通知如下。</w:t>
      </w:r>
    </w:p>
    <w:p>
      <w:pPr>
        <w:numPr>
          <w:ilvl w:val="255"/>
          <w:numId w:val="0"/>
        </w:numPr>
        <w:spacing w:afterLines="0" w:line="600" w:lineRule="exact"/>
        <w:ind w:firstLine="640" w:firstLineChars="200"/>
        <w:rPr>
          <w:rFonts w:hint="eastAsia"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一、</w:t>
      </w:r>
      <w:r>
        <w:rPr>
          <w:rFonts w:hint="eastAsia" w:ascii="Times New Roman" w:hAnsi="Times New Roman" w:eastAsia="黑体" w:cs="Times New Roman"/>
          <w:color w:val="000000" w:themeColor="text1"/>
          <w:sz w:val="32"/>
          <w:szCs w:val="32"/>
          <w:lang w:val="en-US" w:eastAsia="zh-CN"/>
          <w14:textFill>
            <w14:solidFill>
              <w14:schemeClr w14:val="tx1"/>
            </w14:solidFill>
          </w14:textFill>
        </w:rPr>
        <w:t>优化</w:t>
      </w:r>
      <w:r>
        <w:rPr>
          <w:rFonts w:hint="default" w:ascii="Times New Roman" w:hAnsi="Times New Roman" w:eastAsia="黑体" w:cs="Times New Roman"/>
          <w:color w:val="000000" w:themeColor="text1"/>
          <w:sz w:val="32"/>
          <w:szCs w:val="32"/>
          <w14:textFill>
            <w14:solidFill>
              <w14:schemeClr w14:val="tx1"/>
            </w14:solidFill>
          </w14:textFill>
        </w:rPr>
        <w:t>专业设置与管理</w:t>
      </w:r>
    </w:p>
    <w:p>
      <w:pPr>
        <w:numPr>
          <w:ilvl w:val="255"/>
          <w:numId w:val="0"/>
        </w:numPr>
        <w:spacing w:afterLines="0" w:line="600" w:lineRule="exact"/>
        <w:ind w:firstLine="640" w:firstLineChars="200"/>
        <w:jc w:val="both"/>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各省级教育行政部门、高校等单位要严格按照</w:t>
      </w:r>
      <w:r>
        <w:rPr>
          <w:rFonts w:hint="default" w:ascii="Times New Roman" w:hAnsi="Times New Roman" w:eastAsia="仿宋_GB2312" w:cs="Times New Roman"/>
          <w:color w:val="000000" w:themeColor="text1"/>
          <w:sz w:val="32"/>
          <w:szCs w:val="32"/>
          <w14:textFill>
            <w14:solidFill>
              <w14:schemeClr w14:val="tx1"/>
            </w14:solidFill>
          </w14:textFill>
        </w:rPr>
        <w:t>《教育部关于推进新时代普通高等学校学历继续教育改革的实施意见》《高等学历继续教育专业设置管理办法》《高等教育自学考试专业设置实施细则》</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有关规定，组织开展2025年专业设置与管理工作，具体须按照以下要求：</w:t>
      </w:r>
    </w:p>
    <w:p>
      <w:pPr>
        <w:numPr>
          <w:ilvl w:val="-1"/>
          <w:numId w:val="0"/>
        </w:numPr>
        <w:spacing w:afterLines="0" w:line="600" w:lineRule="exact"/>
        <w:ind w:firstLine="642" w:firstLineChars="200"/>
        <w:rPr>
          <w:rFonts w:hint="default" w:ascii="Times New Roman" w:hAnsi="Times New Roman" w:eastAsia="仿宋_GB2312" w:cs="Times New Roman"/>
          <w:sz w:val="32"/>
          <w:szCs w:val="32"/>
        </w:rPr>
      </w:pPr>
      <w:r>
        <w:rPr>
          <w:rFonts w:hint="eastAsia" w:ascii="Times New Roman" w:hAnsi="Times New Roman" w:eastAsia="楷体_GB2312" w:cs="Times New Roman"/>
          <w:b/>
          <w:color w:val="000000" w:themeColor="text1"/>
          <w:sz w:val="32"/>
          <w:szCs w:val="32"/>
          <w:lang w:val="en-US" w:eastAsia="zh-CN"/>
          <w14:textFill>
            <w14:solidFill>
              <w14:schemeClr w14:val="tx1"/>
            </w14:solidFill>
          </w14:textFill>
        </w:rPr>
        <w:t>（一）规范专业设置管理</w:t>
      </w:r>
      <w:r>
        <w:rPr>
          <w:rFonts w:hint="default" w:ascii="Times New Roman" w:hAnsi="Times New Roman" w:eastAsia="楷体_GB2312" w:cs="Times New Roman"/>
          <w:b/>
          <w:sz w:val="32"/>
          <w:szCs w:val="32"/>
        </w:rPr>
        <w:t>。</w:t>
      </w:r>
      <w:r>
        <w:rPr>
          <w:rFonts w:hint="default" w:ascii="Times New Roman" w:hAnsi="Times New Roman" w:eastAsia="仿宋_GB2312" w:cs="Times New Roman"/>
          <w:sz w:val="32"/>
          <w:szCs w:val="32"/>
        </w:rPr>
        <w:t>高等学历继续教育专业目录</w:t>
      </w:r>
      <w:r>
        <w:rPr>
          <w:rFonts w:hint="eastAsia" w:ascii="Times New Roman" w:hAnsi="Times New Roman" w:eastAsia="仿宋_GB2312" w:cs="Times New Roman"/>
          <w:sz w:val="32"/>
          <w:szCs w:val="32"/>
          <w:lang w:val="en-US" w:eastAsia="zh-CN"/>
        </w:rPr>
        <w:t>以每年更新的</w:t>
      </w:r>
      <w:r>
        <w:rPr>
          <w:rFonts w:hint="default" w:ascii="Times New Roman" w:hAnsi="Times New Roman" w:eastAsia="仿宋_GB2312" w:cs="Times New Roman"/>
          <w:sz w:val="32"/>
          <w:szCs w:val="32"/>
        </w:rPr>
        <w:t>《普通高等学校本科专业目录》</w:t>
      </w:r>
      <w:r>
        <w:rPr>
          <w:rFonts w:hint="eastAsia" w:ascii="Times New Roman" w:hAnsi="Times New Roman" w:eastAsia="仿宋_GB2312" w:cs="Times New Roman"/>
          <w:sz w:val="32"/>
          <w:szCs w:val="32"/>
          <w:lang w:val="en-US" w:eastAsia="zh-CN"/>
        </w:rPr>
        <w:t>和动态调整的</w:t>
      </w:r>
      <w:r>
        <w:rPr>
          <w:rFonts w:hint="default" w:ascii="Times New Roman" w:hAnsi="Times New Roman" w:eastAsia="仿宋_GB2312" w:cs="Times New Roman"/>
          <w:sz w:val="32"/>
          <w:szCs w:val="32"/>
        </w:rPr>
        <w:t>《职业教育专业目录》</w:t>
      </w:r>
      <w:r>
        <w:rPr>
          <w:rFonts w:hint="eastAsia" w:ascii="Times New Roman" w:hAnsi="Times New Roman" w:eastAsia="仿宋_GB2312" w:cs="Times New Roman"/>
          <w:sz w:val="32"/>
          <w:szCs w:val="32"/>
          <w:lang w:val="en-US" w:eastAsia="zh-CN"/>
        </w:rPr>
        <w:t>为依据</w:t>
      </w:r>
      <w:r>
        <w:rPr>
          <w:rFonts w:hint="default" w:ascii="Times New Roman" w:hAnsi="Times New Roman" w:eastAsia="仿宋_GB2312" w:cs="Times New Roman"/>
          <w:sz w:val="32"/>
          <w:szCs w:val="32"/>
        </w:rPr>
        <w:t>。高等学历继续教育补充专业目录不再</w:t>
      </w:r>
      <w:r>
        <w:rPr>
          <w:rFonts w:hint="eastAsia" w:ascii="Times New Roman" w:hAnsi="Times New Roman" w:eastAsia="仿宋_GB2312" w:cs="Times New Roman"/>
          <w:sz w:val="32"/>
          <w:szCs w:val="32"/>
          <w:lang w:val="en-US" w:eastAsia="zh-CN"/>
        </w:rPr>
        <w:t>用于专业备案</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相关新旧专业</w:t>
      </w:r>
      <w:r>
        <w:rPr>
          <w:rFonts w:hint="default" w:ascii="Times New Roman" w:hAnsi="Times New Roman" w:eastAsia="仿宋_GB2312" w:cs="Times New Roman"/>
          <w:sz w:val="32"/>
          <w:szCs w:val="32"/>
        </w:rPr>
        <w:t>对照表见附1。</w:t>
      </w:r>
    </w:p>
    <w:p>
      <w:pPr>
        <w:numPr>
          <w:ilvl w:val="-1"/>
          <w:numId w:val="0"/>
        </w:numPr>
        <w:spacing w:afterLines="0"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高校要</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将继续教育</w:t>
      </w:r>
      <w:r>
        <w:rPr>
          <w:rFonts w:hint="default" w:ascii="Times New Roman" w:hAnsi="Times New Roman" w:eastAsia="仿宋_GB2312" w:cs="Times New Roman"/>
          <w:color w:val="000000" w:themeColor="text1"/>
          <w:sz w:val="32"/>
          <w:szCs w:val="32"/>
          <w14:textFill>
            <w14:solidFill>
              <w14:schemeClr w14:val="tx1"/>
            </w14:solidFill>
          </w14:textFill>
        </w:rPr>
        <w:t>纳入学校</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落实《教育强国建设规划纲要》的整体安排，</w:t>
      </w:r>
      <w:r>
        <w:rPr>
          <w:rFonts w:hint="default" w:ascii="Times New Roman" w:hAnsi="Times New Roman" w:eastAsia="仿宋_GB2312" w:cs="Times New Roman"/>
          <w:color w:val="000000" w:themeColor="text1"/>
          <w:sz w:val="32"/>
          <w:szCs w:val="32"/>
          <w14:textFill>
            <w14:solidFill>
              <w14:schemeClr w14:val="tx1"/>
            </w14:solidFill>
          </w14:textFill>
        </w:rPr>
        <w:t>主动对接国家</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战略、区域发展、行业需要、学习者需求，</w:t>
      </w:r>
      <w:r>
        <w:rPr>
          <w:rFonts w:hint="default" w:ascii="Times New Roman" w:hAnsi="Times New Roman" w:eastAsia="仿宋_GB2312" w:cs="Times New Roman"/>
          <w:color w:val="000000" w:themeColor="text1"/>
          <w:sz w:val="32"/>
          <w:szCs w:val="32"/>
          <w14:textFill>
            <w14:solidFill>
              <w14:schemeClr w14:val="tx1"/>
            </w14:solidFill>
          </w14:textFill>
        </w:rPr>
        <w:t>将继续教育</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作为学校人才培养体系和社会服务的重要组成部分，</w:t>
      </w:r>
      <w:r>
        <w:rPr>
          <w:rFonts w:hint="default" w:ascii="仿宋_GB2312" w:eastAsia="仿宋_GB2312"/>
          <w:color w:val="000000" w:themeColor="text1"/>
          <w:sz w:val="32"/>
          <w:szCs w:val="32"/>
          <w14:textFill>
            <w14:solidFill>
              <w14:schemeClr w14:val="tx1"/>
            </w14:solidFill>
          </w14:textFill>
        </w:rPr>
        <w:t>探索统筹职业教育、高等教育、继续教育协同创新路径。</w:t>
      </w:r>
      <w:r>
        <w:rPr>
          <w:rFonts w:hint="eastAsia" w:ascii="仿宋_GB2312" w:eastAsia="仿宋_GB2312"/>
          <w:color w:val="000000" w:themeColor="text1"/>
          <w:sz w:val="32"/>
          <w:szCs w:val="32"/>
          <w:lang w:val="en-US" w:eastAsia="zh-CN"/>
          <w14:textFill>
            <w14:solidFill>
              <w14:schemeClr w14:val="tx1"/>
            </w14:solidFill>
          </w14:textFill>
        </w:rPr>
        <w:t>要</w:t>
      </w:r>
      <w:r>
        <w:rPr>
          <w:rFonts w:hint="default" w:ascii="Times New Roman" w:hAnsi="Times New Roman" w:eastAsia="仿宋_GB2312" w:cs="Times New Roman"/>
          <w:color w:val="000000" w:themeColor="text1"/>
          <w:sz w:val="32"/>
          <w:szCs w:val="32"/>
          <w14:textFill>
            <w14:solidFill>
              <w14:schemeClr w14:val="tx1"/>
            </w14:solidFill>
          </w14:textFill>
        </w:rPr>
        <w:t>充分考虑学校</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办学定位和</w:t>
      </w:r>
      <w:r>
        <w:rPr>
          <w:rFonts w:hint="default" w:ascii="Times New Roman" w:hAnsi="Times New Roman" w:eastAsia="仿宋_GB2312" w:cs="Times New Roman"/>
          <w:color w:val="000000" w:themeColor="text1"/>
          <w:sz w:val="32"/>
          <w:szCs w:val="32"/>
          <w14:textFill>
            <w14:solidFill>
              <w14:schemeClr w14:val="tx1"/>
            </w14:solidFill>
          </w14:textFill>
        </w:rPr>
        <w:t>学科专业</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优势</w:t>
      </w:r>
      <w:r>
        <w:rPr>
          <w:rFonts w:hint="default" w:ascii="Times New Roman" w:hAnsi="Times New Roman" w:eastAsia="仿宋_GB2312" w:cs="Times New Roman"/>
          <w:color w:val="000000" w:themeColor="text1"/>
          <w:sz w:val="32"/>
          <w:szCs w:val="32"/>
          <w14:textFill>
            <w14:solidFill>
              <w14:schemeClr w14:val="tx1"/>
            </w14:solidFill>
          </w14:textFill>
        </w:rPr>
        <w:t>、在籍生数量、专业的市场需求及就业竞争力，严格对照</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教育部发布的</w:t>
      </w:r>
      <w:r>
        <w:rPr>
          <w:rFonts w:hint="default" w:ascii="Times New Roman" w:hAnsi="Times New Roman" w:eastAsia="仿宋_GB2312" w:cs="Times New Roman"/>
          <w:color w:val="000000" w:themeColor="text1"/>
          <w:sz w:val="32"/>
          <w:szCs w:val="32"/>
          <w14:textFill>
            <w14:solidFill>
              <w14:schemeClr w14:val="tx1"/>
            </w14:solidFill>
          </w14:textFill>
        </w:rPr>
        <w:t>学历继续教育办学基本要求</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充分论证拟新设</w:t>
      </w:r>
      <w:r>
        <w:rPr>
          <w:rFonts w:hint="default" w:ascii="Times New Roman" w:hAnsi="Times New Roman" w:eastAsia="仿宋_GB2312" w:cs="Times New Roman"/>
          <w:color w:val="000000" w:themeColor="text1"/>
          <w:sz w:val="32"/>
          <w:szCs w:val="32"/>
          <w14:textFill>
            <w14:solidFill>
              <w14:schemeClr w14:val="tx1"/>
            </w14:solidFill>
          </w14:textFill>
        </w:rPr>
        <w:t>专业</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点，持续优化专业结构。</w:t>
      </w:r>
      <w:r>
        <w:rPr>
          <w:rFonts w:hint="eastAsia" w:ascii="Times New Roman" w:hAnsi="Times New Roman" w:eastAsia="仿宋_GB2312" w:cs="Times New Roman"/>
          <w:sz w:val="32"/>
          <w:szCs w:val="32"/>
          <w:lang w:val="en-US" w:eastAsia="zh-CN"/>
        </w:rPr>
        <w:t>高校应</w:t>
      </w:r>
      <w:r>
        <w:rPr>
          <w:rFonts w:hint="default" w:ascii="Times New Roman" w:hAnsi="Times New Roman" w:eastAsia="仿宋_GB2312" w:cs="Times New Roman"/>
          <w:sz w:val="32"/>
          <w:szCs w:val="32"/>
        </w:rPr>
        <w:t>在本校开设</w:t>
      </w:r>
      <w:r>
        <w:rPr>
          <w:rFonts w:hint="eastAsia" w:ascii="Times New Roman" w:hAnsi="Times New Roman" w:eastAsia="仿宋_GB2312" w:cs="Times New Roman"/>
          <w:sz w:val="32"/>
          <w:szCs w:val="32"/>
          <w:lang w:eastAsia="zh-CN"/>
        </w:rPr>
        <w:t>的</w:t>
      </w:r>
      <w:r>
        <w:rPr>
          <w:rFonts w:hint="eastAsia" w:ascii="Times New Roman" w:hAnsi="Times New Roman" w:eastAsia="仿宋_GB2312" w:cs="Times New Roman"/>
          <w:sz w:val="32"/>
          <w:szCs w:val="32"/>
          <w:lang w:val="en-US" w:eastAsia="zh-CN"/>
        </w:rPr>
        <w:t>已有至少一届毕业生</w:t>
      </w:r>
      <w:r>
        <w:rPr>
          <w:rFonts w:hint="default" w:ascii="Times New Roman" w:hAnsi="Times New Roman" w:eastAsia="仿宋_GB2312" w:cs="Times New Roman"/>
          <w:sz w:val="32"/>
          <w:szCs w:val="32"/>
        </w:rPr>
        <w:t>的全日制教育本、专科专业范围内</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设置继续教育本、专科专业。</w:t>
      </w:r>
    </w:p>
    <w:p>
      <w:pPr>
        <w:numPr>
          <w:ilvl w:val="-1"/>
          <w:numId w:val="0"/>
        </w:numPr>
        <w:spacing w:afterLines="0" w:line="600" w:lineRule="exact"/>
        <w:ind w:firstLine="640" w:firstLineChars="200"/>
        <w:rPr>
          <w:rFonts w:hint="eastAsia"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各省级高等教育自学考试委员会</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要</w:t>
      </w:r>
      <w:r>
        <w:rPr>
          <w:rFonts w:hint="default" w:ascii="Times New Roman" w:hAnsi="Times New Roman" w:eastAsia="仿宋_GB2312" w:cs="Times New Roman"/>
          <w:color w:val="000000" w:themeColor="text1"/>
          <w:sz w:val="32"/>
          <w:szCs w:val="32"/>
          <w14:textFill>
            <w14:solidFill>
              <w14:schemeClr w14:val="tx1"/>
            </w14:solidFill>
          </w14:textFill>
        </w:rPr>
        <w:t>根据</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最新的</w:t>
      </w:r>
      <w:r>
        <w:rPr>
          <w:rFonts w:hint="default" w:ascii="Times New Roman" w:hAnsi="Times New Roman" w:eastAsia="仿宋_GB2312" w:cs="Times New Roman"/>
          <w:color w:val="000000" w:themeColor="text1"/>
          <w:sz w:val="32"/>
          <w:szCs w:val="32"/>
          <w14:textFill>
            <w14:solidFill>
              <w14:schemeClr w14:val="tx1"/>
            </w14:solidFill>
          </w14:textFill>
        </w:rPr>
        <w:t>全国自考开考专业清单（见附2），</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及时调整本省自考</w:t>
      </w:r>
      <w:r>
        <w:rPr>
          <w:rFonts w:hint="default" w:ascii="Times New Roman" w:hAnsi="Times New Roman" w:eastAsia="仿宋_GB2312" w:cs="Times New Roman"/>
          <w:color w:val="000000" w:themeColor="text1"/>
          <w:sz w:val="32"/>
          <w:szCs w:val="32"/>
          <w14:textFill>
            <w14:solidFill>
              <w14:schemeClr w14:val="tx1"/>
            </w14:solidFill>
          </w14:textFill>
        </w:rPr>
        <w:t>开考专业规划，</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更多开设服务</w:t>
      </w:r>
      <w:r>
        <w:rPr>
          <w:rFonts w:hint="default" w:ascii="Times New Roman" w:hAnsi="Times New Roman" w:eastAsia="仿宋_GB2312" w:cs="Times New Roman"/>
          <w:color w:val="000000" w:themeColor="text1"/>
          <w:sz w:val="32"/>
          <w:szCs w:val="32"/>
          <w14:textFill>
            <w14:solidFill>
              <w14:schemeClr w14:val="tx1"/>
            </w14:solidFill>
          </w14:textFill>
        </w:rPr>
        <w:t>区域</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和行业人才</w:t>
      </w:r>
      <w:r>
        <w:rPr>
          <w:rFonts w:hint="default" w:ascii="Times New Roman" w:hAnsi="Times New Roman" w:eastAsia="仿宋_GB2312" w:cs="Times New Roman"/>
          <w:color w:val="000000" w:themeColor="text1"/>
          <w:sz w:val="32"/>
          <w:szCs w:val="32"/>
          <w14:textFill>
            <w14:solidFill>
              <w14:schemeClr w14:val="tx1"/>
            </w14:solidFill>
          </w14:textFill>
        </w:rPr>
        <w:t>需求</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适合成人自学的专业，择优选择省域内</w:t>
      </w:r>
      <w:r>
        <w:rPr>
          <w:rFonts w:hint="default" w:ascii="Times New Roman" w:hAnsi="Times New Roman" w:eastAsia="仿宋_GB2312" w:cs="Times New Roman"/>
          <w:color w:val="000000" w:themeColor="text1"/>
          <w:sz w:val="32"/>
          <w:szCs w:val="32"/>
          <w14:textFill>
            <w14:solidFill>
              <w14:schemeClr w14:val="tx1"/>
            </w14:solidFill>
          </w14:textFill>
        </w:rPr>
        <w:t>已开设同</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一</w:t>
      </w:r>
      <w:r>
        <w:rPr>
          <w:rFonts w:hint="default" w:ascii="Times New Roman" w:hAnsi="Times New Roman" w:eastAsia="仿宋_GB2312" w:cs="Times New Roman"/>
          <w:color w:val="000000" w:themeColor="text1"/>
          <w:sz w:val="32"/>
          <w:szCs w:val="32"/>
          <w14:textFill>
            <w14:solidFill>
              <w14:schemeClr w14:val="tx1"/>
            </w14:solidFill>
          </w14:textFill>
        </w:rPr>
        <w:t>全日制专业</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的</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高校承担主考工作，稳妥做好有关专业停考、主考学校变更、自考助学机构管理等工作</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p>
    <w:p>
      <w:pPr>
        <w:numPr>
          <w:ilvl w:val="-1"/>
          <w:numId w:val="0"/>
        </w:numPr>
        <w:spacing w:afterLines="0" w:line="600" w:lineRule="exact"/>
        <w:ind w:firstLine="642"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楷体_GB2312" w:cs="Times New Roman"/>
          <w:b/>
          <w:color w:val="000000" w:themeColor="text1"/>
          <w:sz w:val="32"/>
          <w:szCs w:val="32"/>
          <w:lang w:eastAsia="zh-CN"/>
          <w14:textFill>
            <w14:solidFill>
              <w14:schemeClr w14:val="tx1"/>
            </w14:solidFill>
          </w14:textFill>
        </w:rPr>
        <w:t>（</w:t>
      </w:r>
      <w:r>
        <w:rPr>
          <w:rFonts w:hint="eastAsia" w:ascii="Times New Roman" w:hAnsi="Times New Roman" w:eastAsia="楷体_GB2312" w:cs="Times New Roman"/>
          <w:b/>
          <w:color w:val="000000" w:themeColor="text1"/>
          <w:sz w:val="32"/>
          <w:szCs w:val="32"/>
          <w:lang w:val="en-US" w:eastAsia="zh-CN"/>
          <w14:textFill>
            <w14:solidFill>
              <w14:schemeClr w14:val="tx1"/>
            </w14:solidFill>
          </w14:textFill>
        </w:rPr>
        <w:t>二</w:t>
      </w:r>
      <w:r>
        <w:rPr>
          <w:rFonts w:hint="eastAsia" w:ascii="Times New Roman" w:hAnsi="Times New Roman" w:eastAsia="楷体_GB2312" w:cs="Times New Roman"/>
          <w:b/>
          <w:color w:val="000000" w:themeColor="text1"/>
          <w:sz w:val="32"/>
          <w:szCs w:val="32"/>
          <w:lang w:eastAsia="zh-CN"/>
          <w14:textFill>
            <w14:solidFill>
              <w14:schemeClr w14:val="tx1"/>
            </w14:solidFill>
          </w14:textFill>
        </w:rPr>
        <w:t>）</w:t>
      </w:r>
      <w:r>
        <w:rPr>
          <w:rFonts w:hint="eastAsia" w:ascii="Times New Roman" w:hAnsi="Times New Roman" w:eastAsia="楷体_GB2312" w:cs="Times New Roman"/>
          <w:b/>
          <w:color w:val="000000" w:themeColor="text1"/>
          <w:sz w:val="32"/>
          <w:szCs w:val="32"/>
          <w:lang w:val="en-US" w:eastAsia="zh-CN"/>
          <w14:textFill>
            <w14:solidFill>
              <w14:schemeClr w14:val="tx1"/>
            </w14:solidFill>
          </w14:textFill>
        </w:rPr>
        <w:t>优化专业布局结构</w:t>
      </w:r>
      <w:r>
        <w:rPr>
          <w:rFonts w:hint="default" w:ascii="Times New Roman" w:hAnsi="Times New Roman" w:eastAsia="楷体_GB2312" w:cs="Times New Roman"/>
          <w:b/>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鼓励</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有条件的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高校增设</w:t>
      </w:r>
      <w:r>
        <w:rPr>
          <w:rFonts w:hint="default" w:ascii="Times New Roman" w:hAnsi="Times New Roman" w:eastAsia="仿宋_GB2312" w:cs="Times New Roman"/>
          <w:i w:val="0"/>
          <w:iCs w:val="0"/>
          <w:caps w:val="0"/>
          <w:color w:val="000000" w:themeColor="text1"/>
          <w:spacing w:val="0"/>
          <w:sz w:val="32"/>
          <w:szCs w:val="32"/>
          <w:shd w:val="clear"/>
          <w14:textFill>
            <w14:solidFill>
              <w14:schemeClr w14:val="tx1"/>
            </w14:solidFill>
          </w14:textFill>
        </w:rPr>
        <w:t>先进制造、集成电路、人工智能、量子科技、生命健康、能源、绿色低碳、国际组织、金融科技等领域相关专业，</w:t>
      </w:r>
      <w:r>
        <w:rPr>
          <w:rFonts w:hint="default" w:ascii="Times New Roman" w:hAnsi="Times New Roman" w:eastAsia="仿宋_GB2312" w:cs="Times New Roman"/>
          <w:i w:val="0"/>
          <w:iCs w:val="0"/>
          <w:caps w:val="0"/>
          <w:color w:val="000000" w:themeColor="text1"/>
          <w:spacing w:val="0"/>
          <w:sz w:val="32"/>
          <w:szCs w:val="32"/>
          <w:shd w:val="clear"/>
          <w:lang w:val="en-US" w:eastAsia="zh-CN"/>
          <w14:textFill>
            <w14:solidFill>
              <w14:schemeClr w14:val="tx1"/>
            </w14:solidFill>
          </w14:textFill>
        </w:rPr>
        <w:t>以及</w:t>
      </w:r>
      <w:r>
        <w:rPr>
          <w:rFonts w:hint="eastAsia" w:ascii="Times New Roman" w:hAnsi="Times New Roman" w:eastAsia="仿宋_GB2312" w:cs="Times New Roman"/>
          <w:i w:val="0"/>
          <w:iCs w:val="0"/>
          <w:caps w:val="0"/>
          <w:color w:val="000000" w:themeColor="text1"/>
          <w:spacing w:val="0"/>
          <w:sz w:val="32"/>
          <w:szCs w:val="32"/>
          <w:shd w:val="clear"/>
          <w:lang w:val="en-US" w:eastAsia="zh-CN"/>
          <w14:textFill>
            <w14:solidFill>
              <w14:schemeClr w14:val="tx1"/>
            </w14:solidFill>
          </w14:textFill>
        </w:rPr>
        <w:t>托</w:t>
      </w:r>
      <w:r>
        <w:rPr>
          <w:rFonts w:hint="default" w:ascii="Times New Roman" w:hAnsi="Times New Roman" w:eastAsia="仿宋_GB2312" w:cs="Times New Roman"/>
          <w:i w:val="0"/>
          <w:iCs w:val="0"/>
          <w:caps w:val="0"/>
          <w:color w:val="000000" w:themeColor="text1"/>
          <w:spacing w:val="0"/>
          <w:sz w:val="32"/>
          <w:szCs w:val="32"/>
          <w:shd w:val="clear"/>
          <w:lang w:val="en-US" w:eastAsia="zh-CN"/>
          <w14:textFill>
            <w14:solidFill>
              <w14:schemeClr w14:val="tx1"/>
            </w14:solidFill>
          </w14:textFill>
        </w:rPr>
        <w:t>育</w:t>
      </w:r>
      <w:r>
        <w:rPr>
          <w:rFonts w:hint="default" w:ascii="Times New Roman" w:hAnsi="Times New Roman" w:eastAsia="仿宋_GB2312" w:cs="Times New Roman"/>
          <w:i w:val="0"/>
          <w:iCs w:val="0"/>
          <w:caps w:val="0"/>
          <w:color w:val="000000" w:themeColor="text1"/>
          <w:spacing w:val="0"/>
          <w:sz w:val="32"/>
          <w:szCs w:val="32"/>
          <w:shd w:val="clear"/>
          <w14:textFill>
            <w14:solidFill>
              <w14:schemeClr w14:val="tx1"/>
            </w14:solidFill>
          </w14:textFill>
        </w:rPr>
        <w:t>、</w:t>
      </w:r>
      <w:r>
        <w:rPr>
          <w:rFonts w:hint="eastAsia" w:ascii="Times New Roman" w:hAnsi="Times New Roman" w:eastAsia="仿宋_GB2312" w:cs="Times New Roman"/>
          <w:i w:val="0"/>
          <w:iCs w:val="0"/>
          <w:caps w:val="0"/>
          <w:color w:val="000000" w:themeColor="text1"/>
          <w:spacing w:val="0"/>
          <w:sz w:val="32"/>
          <w:szCs w:val="32"/>
          <w:shd w:val="clear"/>
          <w:lang w:val="en-US" w:eastAsia="zh-CN"/>
          <w14:textFill>
            <w14:solidFill>
              <w14:schemeClr w14:val="tx1"/>
            </w14:solidFill>
          </w14:textFill>
        </w:rPr>
        <w:t>养老、照</w:t>
      </w:r>
      <w:r>
        <w:rPr>
          <w:rFonts w:hint="default" w:ascii="Times New Roman" w:hAnsi="Times New Roman" w:eastAsia="仿宋_GB2312" w:cs="Times New Roman"/>
          <w:i w:val="0"/>
          <w:iCs w:val="0"/>
          <w:caps w:val="0"/>
          <w:color w:val="000000" w:themeColor="text1"/>
          <w:spacing w:val="0"/>
          <w:sz w:val="32"/>
          <w:szCs w:val="32"/>
          <w:shd w:val="clear"/>
          <w14:textFill>
            <w14:solidFill>
              <w14:schemeClr w14:val="tx1"/>
            </w14:solidFill>
          </w14:textFill>
        </w:rPr>
        <w:t>护、家政等</w:t>
      </w:r>
      <w:r>
        <w:rPr>
          <w:rFonts w:hint="eastAsia" w:ascii="Times New Roman" w:hAnsi="Times New Roman" w:eastAsia="仿宋_GB2312" w:cs="Times New Roman"/>
          <w:i w:val="0"/>
          <w:iCs w:val="0"/>
          <w:caps w:val="0"/>
          <w:color w:val="000000" w:themeColor="text1"/>
          <w:spacing w:val="0"/>
          <w:sz w:val="32"/>
          <w:szCs w:val="32"/>
          <w:shd w:val="clear"/>
          <w:lang w:val="en-US" w:eastAsia="zh-CN"/>
          <w14:textFill>
            <w14:solidFill>
              <w14:schemeClr w14:val="tx1"/>
            </w14:solidFill>
          </w14:textFill>
        </w:rPr>
        <w:t>民生紧缺领域急需</w:t>
      </w:r>
      <w:r>
        <w:rPr>
          <w:rFonts w:hint="default" w:ascii="Times New Roman" w:hAnsi="Times New Roman" w:eastAsia="仿宋_GB2312" w:cs="Times New Roman"/>
          <w:i w:val="0"/>
          <w:iCs w:val="0"/>
          <w:caps w:val="0"/>
          <w:color w:val="000000" w:themeColor="text1"/>
          <w:spacing w:val="0"/>
          <w:sz w:val="32"/>
          <w:szCs w:val="32"/>
          <w:shd w:val="clear"/>
          <w14:textFill>
            <w14:solidFill>
              <w14:schemeClr w14:val="tx1"/>
            </w14:solidFill>
          </w14:textFill>
        </w:rPr>
        <w:t>专业</w:t>
      </w:r>
      <w:r>
        <w:rPr>
          <w:rFonts w:hint="eastAsia" w:ascii="Times New Roman" w:hAnsi="Times New Roman" w:eastAsia="仿宋_GB2312" w:cs="Times New Roman"/>
          <w:i w:val="0"/>
          <w:iCs w:val="0"/>
          <w:caps w:val="0"/>
          <w:color w:val="000000" w:themeColor="text1"/>
          <w:spacing w:val="0"/>
          <w:sz w:val="32"/>
          <w:szCs w:val="32"/>
          <w:shd w:val="clear"/>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支持</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有条件的高校开设戏曲、</w:t>
      </w:r>
      <w:bookmarkStart w:id="0" w:name="OLE_LINK3"/>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文物保护与修复</w:t>
      </w:r>
      <w:bookmarkEnd w:id="0"/>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、非通用语种、涉外法治和国际传播等领域急需专业，</w:t>
      </w:r>
      <w:r>
        <w:rPr>
          <w:rFonts w:hint="default" w:ascii="Times New Roman" w:hAnsi="Times New Roman" w:eastAsia="仿宋_GB2312" w:cs="Times New Roman"/>
          <w:i w:val="0"/>
          <w:iCs w:val="0"/>
          <w:caps w:val="0"/>
          <w:color w:val="000000" w:themeColor="text1"/>
          <w:spacing w:val="0"/>
          <w:sz w:val="32"/>
          <w:szCs w:val="32"/>
          <w:shd w:val="clear"/>
          <w14:textFill>
            <w14:solidFill>
              <w14:schemeClr w14:val="tx1"/>
            </w14:solidFill>
          </w14:textFill>
        </w:rPr>
        <w:t>有的放矢培养国家战略人才和急需紧缺人才。</w:t>
      </w:r>
      <w:r>
        <w:rPr>
          <w:rFonts w:hint="default" w:ascii="Times New Roman" w:hAnsi="Times New Roman" w:eastAsia="仿宋_GB2312" w:cs="Times New Roman"/>
          <w:color w:val="000000" w:themeColor="text1"/>
          <w:sz w:val="32"/>
          <w:szCs w:val="32"/>
          <w14:textFill>
            <w14:solidFill>
              <w14:schemeClr w14:val="tx1"/>
            </w14:solidFill>
          </w14:textFill>
        </w:rPr>
        <w:t>独立设置成人高校原则上不新增设国控专业。</w:t>
      </w:r>
    </w:p>
    <w:p>
      <w:pPr>
        <w:numPr>
          <w:ilvl w:val="255"/>
          <w:numId w:val="0"/>
        </w:numPr>
        <w:spacing w:afterLines="0" w:line="600" w:lineRule="exact"/>
        <w:ind w:firstLine="640" w:firstLineChars="200"/>
        <w:rPr>
          <w:rFonts w:hint="default" w:ascii="Times New Roman" w:hAnsi="Times New Roman" w:eastAsia="仿宋_GB2312" w:cs="Times New Roman"/>
          <w:b w:val="0"/>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省级教育行政部门、国家开放大学、全国高等教育自学考试指导委员会应按规定加强</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对</w:t>
      </w:r>
      <w:r>
        <w:rPr>
          <w:rFonts w:hint="default" w:ascii="Times New Roman" w:hAnsi="Times New Roman" w:eastAsia="仿宋_GB2312" w:cs="Times New Roman"/>
          <w:color w:val="000000" w:themeColor="text1"/>
          <w:sz w:val="32"/>
          <w:szCs w:val="32"/>
          <w14:textFill>
            <w14:solidFill>
              <w14:schemeClr w14:val="tx1"/>
            </w14:solidFill>
          </w14:textFill>
        </w:rPr>
        <w:t>本</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区域</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系统</w:t>
      </w:r>
      <w:r>
        <w:rPr>
          <w:rFonts w:hint="default" w:ascii="Times New Roman" w:hAnsi="Times New Roman" w:eastAsia="仿宋_GB2312" w:cs="Times New Roman"/>
          <w:color w:val="000000" w:themeColor="text1"/>
          <w:sz w:val="32"/>
          <w:szCs w:val="32"/>
          <w14:textFill>
            <w14:solidFill>
              <w14:schemeClr w14:val="tx1"/>
            </w14:solidFill>
          </w14:textFill>
        </w:rPr>
        <w:t>）专业设置</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的</w:t>
      </w:r>
      <w:r>
        <w:rPr>
          <w:rFonts w:hint="default" w:ascii="Times New Roman" w:hAnsi="Times New Roman" w:eastAsia="仿宋_GB2312" w:cs="Times New Roman"/>
          <w:color w:val="000000" w:themeColor="text1"/>
          <w:sz w:val="32"/>
          <w:szCs w:val="32"/>
          <w14:textFill>
            <w14:solidFill>
              <w14:schemeClr w14:val="tx1"/>
            </w14:solidFill>
          </w14:textFill>
        </w:rPr>
        <w:t>统筹规划</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和协调</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超常规布局急需紧缺专业，</w:t>
      </w:r>
      <w:r>
        <w:rPr>
          <w:rFonts w:hint="eastAsia" w:ascii="仿宋_GB2312" w:eastAsia="仿宋_GB2312"/>
          <w:color w:val="000000" w:themeColor="text1"/>
          <w:sz w:val="32"/>
          <w:szCs w:val="32"/>
          <w:lang w:val="en-US" w:eastAsia="zh-CN"/>
          <w14:textFill>
            <w14:solidFill>
              <w14:schemeClr w14:val="tx1"/>
            </w14:solidFill>
          </w14:textFill>
        </w:rPr>
        <w:t>支持设置新兴专业，鼓励开设面向产业工人、农民工、退役军人、残疾人等群体的专业</w:t>
      </w:r>
      <w:r>
        <w:rPr>
          <w:rFonts w:hint="eastAsia" w:ascii="仿宋_GB2312" w:eastAsia="仿宋_GB2312"/>
          <w:color w:val="000000" w:themeColor="text1"/>
          <w:sz w:val="32"/>
          <w:szCs w:val="32"/>
          <w:lang w:eastAsia="zh-CN"/>
          <w14:textFill>
            <w14:solidFill>
              <w14:schemeClr w14:val="tx1"/>
            </w14:solidFill>
          </w14:textFill>
        </w:rPr>
        <w:t>。</w:t>
      </w:r>
    </w:p>
    <w:p>
      <w:pPr>
        <w:numPr>
          <w:ilvl w:val="-1"/>
          <w:numId w:val="0"/>
        </w:numPr>
        <w:spacing w:afterLines="0" w:line="600" w:lineRule="exact"/>
        <w:ind w:firstLine="642" w:firstLineChars="200"/>
        <w:rPr>
          <w:rFonts w:hint="eastAsia" w:ascii="Times New Roman" w:hAnsi="Times New Roman" w:eastAsia="仿宋_GB2312" w:cs="Times New Roman"/>
          <w:i w:val="0"/>
          <w:iCs w:val="0"/>
          <w:caps w:val="0"/>
          <w:spacing w:val="0"/>
          <w:sz w:val="32"/>
          <w:szCs w:val="32"/>
          <w:shd w:val="clear"/>
          <w:lang w:eastAsia="zh-CN"/>
        </w:rPr>
      </w:pPr>
      <w:r>
        <w:rPr>
          <w:rFonts w:hint="default" w:ascii="Times New Roman" w:hAnsi="Times New Roman" w:eastAsia="楷体_GB2312" w:cs="Times New Roman"/>
          <w:b/>
          <w:sz w:val="32"/>
          <w:szCs w:val="32"/>
        </w:rPr>
        <w:t>（</w:t>
      </w:r>
      <w:r>
        <w:rPr>
          <w:rFonts w:hint="eastAsia" w:ascii="Times New Roman" w:hAnsi="Times New Roman" w:eastAsia="楷体_GB2312" w:cs="Times New Roman"/>
          <w:b/>
          <w:sz w:val="32"/>
          <w:szCs w:val="32"/>
          <w:lang w:val="en-US" w:eastAsia="zh-CN"/>
        </w:rPr>
        <w:t>三</w:t>
      </w:r>
      <w:r>
        <w:rPr>
          <w:rFonts w:hint="default" w:ascii="Times New Roman" w:hAnsi="Times New Roman" w:eastAsia="楷体_GB2312" w:cs="Times New Roman"/>
          <w:b/>
          <w:sz w:val="32"/>
          <w:szCs w:val="32"/>
        </w:rPr>
        <w:t>）</w:t>
      </w:r>
      <w:r>
        <w:rPr>
          <w:rFonts w:hint="eastAsia" w:ascii="Times New Roman" w:hAnsi="Times New Roman" w:eastAsia="楷体_GB2312" w:cs="Times New Roman"/>
          <w:b/>
          <w:sz w:val="32"/>
          <w:szCs w:val="32"/>
          <w:lang w:val="en-US" w:eastAsia="zh-CN"/>
        </w:rPr>
        <w:t>平稳推动办学</w:t>
      </w:r>
      <w:r>
        <w:rPr>
          <w:rFonts w:hint="default" w:ascii="Times New Roman" w:hAnsi="Times New Roman" w:eastAsia="楷体_GB2312" w:cs="Times New Roman"/>
          <w:b/>
          <w:sz w:val="32"/>
          <w:szCs w:val="32"/>
        </w:rPr>
        <w:t>形式</w:t>
      </w:r>
      <w:r>
        <w:rPr>
          <w:rFonts w:hint="eastAsia" w:ascii="Times New Roman" w:hAnsi="Times New Roman" w:eastAsia="楷体_GB2312" w:cs="Times New Roman"/>
          <w:b/>
          <w:sz w:val="32"/>
          <w:szCs w:val="32"/>
          <w:lang w:val="en-US" w:eastAsia="zh-CN"/>
        </w:rPr>
        <w:t>统一</w:t>
      </w:r>
      <w:r>
        <w:rPr>
          <w:rFonts w:hint="default" w:ascii="Times New Roman" w:hAnsi="Times New Roman" w:eastAsia="楷体_GB2312" w:cs="Times New Roman"/>
          <w:b/>
          <w:sz w:val="32"/>
          <w:szCs w:val="32"/>
        </w:rPr>
        <w:t>。</w:t>
      </w:r>
      <w:r>
        <w:rPr>
          <w:rFonts w:hint="default" w:ascii="Times New Roman" w:hAnsi="Times New Roman" w:eastAsia="仿宋_GB2312" w:cs="Times New Roman"/>
          <w:sz w:val="32"/>
          <w:szCs w:val="32"/>
        </w:rPr>
        <w:t>自2025年秋季起，高等学历继续教育不再使用</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函授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业余</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的名称，统一</w:t>
      </w:r>
      <w:r>
        <w:rPr>
          <w:rFonts w:hint="eastAsia" w:ascii="Times New Roman" w:hAnsi="Times New Roman" w:eastAsia="仿宋_GB2312" w:cs="Times New Roman"/>
          <w:sz w:val="32"/>
          <w:szCs w:val="32"/>
          <w:lang w:val="en-US" w:eastAsia="zh-CN"/>
        </w:rPr>
        <w:t>称</w:t>
      </w:r>
      <w:r>
        <w:rPr>
          <w:rFonts w:hint="default" w:ascii="Times New Roman" w:hAnsi="Times New Roman" w:eastAsia="仿宋_GB2312" w:cs="Times New Roman"/>
          <w:sz w:val="32"/>
          <w:szCs w:val="32"/>
        </w:rPr>
        <w:t>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非脱产</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原则上</w:t>
      </w:r>
      <w:r>
        <w:rPr>
          <w:rFonts w:hint="default" w:ascii="Times New Roman" w:hAnsi="Times New Roman" w:eastAsia="仿宋_GB2312" w:cs="Times New Roman"/>
          <w:sz w:val="32"/>
          <w:szCs w:val="32"/>
        </w:rPr>
        <w:t>不再新增脱产形式</w:t>
      </w:r>
      <w:r>
        <w:rPr>
          <w:rFonts w:hint="eastAsia" w:ascii="Times New Roman" w:hAnsi="Times New Roman" w:eastAsia="仿宋_GB2312" w:cs="Times New Roman"/>
          <w:sz w:val="32"/>
          <w:szCs w:val="32"/>
          <w:lang w:eastAsia="zh-CN"/>
        </w:rPr>
        <w:t>的</w:t>
      </w:r>
      <w:r>
        <w:rPr>
          <w:rFonts w:hint="eastAsia" w:ascii="Times New Roman" w:hAnsi="Times New Roman" w:eastAsia="仿宋_GB2312" w:cs="Times New Roman"/>
          <w:sz w:val="32"/>
          <w:szCs w:val="32"/>
          <w:lang w:val="en-US" w:eastAsia="zh-CN"/>
        </w:rPr>
        <w:t>学历继续教育</w:t>
      </w:r>
      <w:r>
        <w:rPr>
          <w:rFonts w:hint="default" w:ascii="Times New Roman" w:hAnsi="Times New Roman" w:eastAsia="仿宋_GB2312" w:cs="Times New Roman"/>
          <w:sz w:val="32"/>
          <w:szCs w:val="32"/>
        </w:rPr>
        <w:t>专业点</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普通高校举办的学历继续教育统一通过成人高考入学，统一</w:t>
      </w:r>
      <w:r>
        <w:rPr>
          <w:rFonts w:hint="eastAsia" w:ascii="Times New Roman" w:hAnsi="Times New Roman" w:eastAsia="仿宋_GB2312" w:cs="Times New Roman"/>
          <w:sz w:val="32"/>
          <w:szCs w:val="32"/>
          <w:lang w:val="en-US" w:eastAsia="zh-CN"/>
        </w:rPr>
        <w:t>落实颁布的</w:t>
      </w:r>
      <w:r>
        <w:rPr>
          <w:rFonts w:hint="default" w:ascii="Times New Roman" w:hAnsi="Times New Roman" w:eastAsia="仿宋_GB2312" w:cs="Times New Roman"/>
          <w:sz w:val="32"/>
          <w:szCs w:val="32"/>
        </w:rPr>
        <w:t>专业教学基本要求，统一最低修业年限，统一毕业证书。</w:t>
      </w:r>
      <w:r>
        <w:rPr>
          <w:rFonts w:hint="eastAsia" w:ascii="Times New Roman" w:hAnsi="Times New Roman" w:eastAsia="仿宋_GB2312" w:cs="Times New Roman"/>
          <w:sz w:val="32"/>
          <w:szCs w:val="32"/>
          <w:lang w:val="en-US" w:eastAsia="zh-CN"/>
        </w:rPr>
        <w:t>2025年秋季学期前</w:t>
      </w:r>
      <w:r>
        <w:rPr>
          <w:rFonts w:hint="default" w:ascii="Times New Roman" w:hAnsi="Times New Roman" w:eastAsia="仿宋_GB2312" w:cs="Times New Roman"/>
          <w:i w:val="0"/>
          <w:iCs w:val="0"/>
          <w:caps w:val="0"/>
          <w:spacing w:val="0"/>
          <w:sz w:val="32"/>
          <w:szCs w:val="32"/>
          <w:shd w:val="clear"/>
        </w:rPr>
        <w:t>已注册入学的函授、业余、网络教育学生</w:t>
      </w:r>
      <w:r>
        <w:rPr>
          <w:rFonts w:hint="eastAsia" w:ascii="Times New Roman" w:hAnsi="Times New Roman" w:eastAsia="仿宋_GB2312" w:cs="Times New Roman"/>
          <w:i w:val="0"/>
          <w:iCs w:val="0"/>
          <w:caps w:val="0"/>
          <w:spacing w:val="0"/>
          <w:sz w:val="32"/>
          <w:szCs w:val="32"/>
          <w:shd w:val="clear"/>
          <w:lang w:val="en-US" w:eastAsia="zh-CN"/>
        </w:rPr>
        <w:t>继续</w:t>
      </w:r>
      <w:r>
        <w:rPr>
          <w:rFonts w:hint="default" w:ascii="Times New Roman" w:hAnsi="Times New Roman" w:eastAsia="仿宋_GB2312" w:cs="Times New Roman"/>
          <w:i w:val="0"/>
          <w:iCs w:val="0"/>
          <w:caps w:val="0"/>
          <w:spacing w:val="0"/>
          <w:sz w:val="32"/>
          <w:szCs w:val="32"/>
          <w:shd w:val="clear"/>
        </w:rPr>
        <w:t>按原政策执行</w:t>
      </w:r>
      <w:r>
        <w:rPr>
          <w:rFonts w:hint="eastAsia" w:ascii="Times New Roman" w:hAnsi="Times New Roman" w:eastAsia="仿宋_GB2312" w:cs="Times New Roman"/>
          <w:i w:val="0"/>
          <w:iCs w:val="0"/>
          <w:caps w:val="0"/>
          <w:spacing w:val="0"/>
          <w:sz w:val="32"/>
          <w:szCs w:val="32"/>
          <w:shd w:val="clear"/>
          <w:lang w:eastAsia="zh-CN"/>
        </w:rPr>
        <w:t>。</w:t>
      </w:r>
    </w:p>
    <w:p>
      <w:pPr>
        <w:numPr>
          <w:ilvl w:val="-1"/>
          <w:numId w:val="0"/>
        </w:numPr>
        <w:spacing w:afterLines="0" w:line="600" w:lineRule="exact"/>
        <w:ind w:firstLine="640" w:firstLineChars="200"/>
        <w:rPr>
          <w:rFonts w:hint="default" w:ascii="Times New Roman" w:hAnsi="Times New Roman" w:eastAsia="仿宋_GB2312" w:cs="Times New Roman"/>
          <w:i w:val="0"/>
          <w:iCs w:val="0"/>
          <w:caps w:val="0"/>
          <w:spacing w:val="0"/>
          <w:sz w:val="32"/>
          <w:szCs w:val="32"/>
          <w:lang w:val="en-US" w:eastAsia="zh-CN"/>
        </w:rPr>
      </w:pPr>
      <w:r>
        <w:rPr>
          <w:rFonts w:hint="eastAsia" w:ascii="Times New Roman" w:hAnsi="Times New Roman" w:eastAsia="仿宋_GB2312" w:cs="Times New Roman"/>
          <w:sz w:val="32"/>
          <w:szCs w:val="32"/>
          <w:lang w:val="en-US" w:eastAsia="zh-CN"/>
        </w:rPr>
        <w:t>要做好专业备案工作衔接，学习形式从“函授”“业余”变更为“非脱产”的专业不计入新增专业，此前关于医学类、外语类、艺术类等专业设置管理政策原则上继续适用，高校举办临床</w:t>
      </w:r>
      <w:r>
        <w:rPr>
          <w:rFonts w:hint="eastAsia" w:ascii="Times New Roman" w:hAnsi="Times New Roman" w:eastAsia="仿宋_GB2312" w:cs="Times New Roman"/>
          <w:bCs w:val="0"/>
          <w:kern w:val="2"/>
          <w:sz w:val="32"/>
          <w:szCs w:val="32"/>
          <w:lang w:val="en-US" w:eastAsia="zh-CN"/>
        </w:rPr>
        <w:t>医学类、中医学类等学历继续教育专业，线下教学（含实践性教学）地点须在</w:t>
      </w:r>
      <w:r>
        <w:rPr>
          <w:rFonts w:hint="eastAsia" w:ascii="Times New Roman" w:hAnsi="Times New Roman" w:eastAsia="仿宋_GB2312" w:cs="Times New Roman"/>
          <w:sz w:val="32"/>
          <w:szCs w:val="32"/>
          <w:lang w:val="en-US" w:eastAsia="zh-CN"/>
        </w:rPr>
        <w:t>校</w:t>
      </w:r>
      <w:r>
        <w:rPr>
          <w:rFonts w:hint="eastAsia" w:ascii="Times New Roman" w:hAnsi="Times New Roman" w:eastAsia="仿宋_GB2312" w:cs="Times New Roman"/>
          <w:sz w:val="32"/>
          <w:szCs w:val="32"/>
        </w:rPr>
        <w:t>本部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含经批准的学校临床教学基地</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或其他开设相关医学类专业的院校</w:t>
      </w:r>
      <w:r>
        <w:rPr>
          <w:rFonts w:hint="eastAsia" w:ascii="Times New Roman" w:hAnsi="Times New Roman" w:eastAsia="仿宋_GB2312" w:cs="Times New Roman"/>
          <w:i w:val="0"/>
          <w:iCs w:val="0"/>
          <w:caps w:val="0"/>
          <w:spacing w:val="0"/>
          <w:sz w:val="32"/>
          <w:szCs w:val="32"/>
          <w:lang w:val="en-US" w:eastAsia="zh-CN"/>
        </w:rPr>
        <w:t>。</w:t>
      </w:r>
    </w:p>
    <w:p>
      <w:pPr>
        <w:numPr>
          <w:ilvl w:val="-1"/>
          <w:numId w:val="0"/>
        </w:numPr>
        <w:spacing w:afterLines="0" w:line="600" w:lineRule="exact"/>
        <w:ind w:firstLine="640" w:firstLineChars="200"/>
        <w:rPr>
          <w:rFonts w:hint="default" w:ascii="Times New Roman" w:hAnsi="Times New Roman" w:eastAsia="仿宋_GB2312" w:cs="Times New Roman"/>
          <w:sz w:val="32"/>
          <w:szCs w:val="32"/>
          <w:lang w:val="en-US"/>
        </w:rPr>
      </w:pPr>
      <w:r>
        <w:rPr>
          <w:rFonts w:hint="eastAsia" w:ascii="Times New Roman" w:hAnsi="Times New Roman" w:eastAsia="仿宋_GB2312" w:cs="Times New Roman"/>
          <w:i w:val="0"/>
          <w:iCs w:val="0"/>
          <w:caps w:val="0"/>
          <w:spacing w:val="0"/>
          <w:sz w:val="32"/>
          <w:szCs w:val="32"/>
          <w:lang w:val="en-US" w:eastAsia="zh-CN"/>
        </w:rPr>
        <w:t>要进一步提升办学质量，高校要始终坚守学历继续教育的公益属性和育人本质，全面落实立德树人根本任务，按照要求开齐开足开好思政课，扎实推进课程思政，及时制（修）订继续教育人才培养方案，持续加强课程、教材和数字化学习资源建设，加大论文写作等学习支持服务力度，切实提高继续教育人才培养质量。</w:t>
      </w:r>
    </w:p>
    <w:p>
      <w:pPr>
        <w:numPr>
          <w:ilvl w:val="0"/>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有关专业备案工作的具体安排见附3。</w:t>
      </w:r>
    </w:p>
    <w:p>
      <w:pPr>
        <w:numPr>
          <w:ilvl w:val="255"/>
          <w:numId w:val="0"/>
        </w:numPr>
        <w:spacing w:afterLines="0" w:line="600" w:lineRule="exact"/>
        <w:ind w:firstLine="640" w:firstLineChars="200"/>
        <w:rPr>
          <w:rFonts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二、</w:t>
      </w:r>
      <w:r>
        <w:rPr>
          <w:rFonts w:hint="eastAsia" w:ascii="Times New Roman" w:hAnsi="Times New Roman" w:eastAsia="黑体" w:cs="Times New Roman"/>
          <w:color w:val="000000" w:themeColor="text1"/>
          <w:sz w:val="32"/>
          <w:szCs w:val="32"/>
          <w:lang w:val="en-US" w:eastAsia="zh-CN"/>
          <w14:textFill>
            <w14:solidFill>
              <w14:schemeClr w14:val="tx1"/>
            </w14:solidFill>
          </w14:textFill>
        </w:rPr>
        <w:t>做好</w:t>
      </w:r>
      <w:r>
        <w:rPr>
          <w:rFonts w:hint="default" w:ascii="Times New Roman" w:hAnsi="Times New Roman" w:eastAsia="黑体" w:cs="Times New Roman"/>
          <w:color w:val="000000" w:themeColor="text1"/>
          <w:sz w:val="32"/>
          <w:szCs w:val="32"/>
          <w14:textFill>
            <w14:solidFill>
              <w14:schemeClr w14:val="tx1"/>
            </w14:solidFill>
          </w14:textFill>
        </w:rPr>
        <w:t>校外教学点设置与管理</w:t>
      </w: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各省级教育行政部门和高校要</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完整、全面、准确落实《</w:t>
      </w:r>
      <w:r>
        <w:rPr>
          <w:rFonts w:hint="default" w:ascii="Times New Roman" w:hAnsi="Times New Roman" w:eastAsia="仿宋_GB2312" w:cs="Times New Roman"/>
          <w:color w:val="000000" w:themeColor="text1"/>
          <w:sz w:val="32"/>
          <w:szCs w:val="32"/>
          <w14:textFill>
            <w14:solidFill>
              <w14:schemeClr w14:val="tx1"/>
            </w14:solidFill>
          </w14:textFill>
        </w:rPr>
        <w:t>教育部关于推进新时代普通高等学校学历继续教育改革的实施意见》《教育部办公厅关于严格规范高等学历继续教育校外教学点设置与管理工作的通知》</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等</w:t>
      </w:r>
      <w:r>
        <w:rPr>
          <w:rFonts w:hint="default" w:ascii="Times New Roman" w:hAnsi="Times New Roman" w:eastAsia="仿宋_GB2312" w:cs="Times New Roman"/>
          <w:color w:val="000000" w:themeColor="text1"/>
          <w:sz w:val="32"/>
          <w:szCs w:val="32"/>
          <w14:textFill>
            <w14:solidFill>
              <w14:schemeClr w14:val="tx1"/>
            </w14:solidFill>
          </w14:textFill>
        </w:rPr>
        <w:t>要求，</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组织</w:t>
      </w:r>
      <w:r>
        <w:rPr>
          <w:rFonts w:hint="default" w:ascii="Times New Roman" w:hAnsi="Times New Roman" w:eastAsia="仿宋_GB2312" w:cs="Times New Roman"/>
          <w:color w:val="000000" w:themeColor="text1"/>
          <w:sz w:val="32"/>
          <w:szCs w:val="32"/>
          <w14:textFill>
            <w14:solidFill>
              <w14:schemeClr w14:val="tx1"/>
            </w14:solidFill>
          </w14:textFill>
        </w:rPr>
        <w:t>开展202</w:t>
      </w:r>
      <w:r>
        <w:rPr>
          <w:rFonts w:ascii="Times New Roman" w:hAnsi="Times New Roman" w:eastAsia="仿宋_GB2312" w:cs="Times New Roman"/>
          <w:color w:val="000000" w:themeColor="text1"/>
          <w:sz w:val="32"/>
          <w:szCs w:val="32"/>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年度校外教学点设置与管理</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具体要求如下</w:t>
      </w:r>
      <w:r>
        <w:rPr>
          <w:rFonts w:hint="default" w:ascii="Times New Roman" w:hAnsi="Times New Roman" w:eastAsia="仿宋_GB2312" w:cs="Times New Roman"/>
          <w:color w:val="000000" w:themeColor="text1"/>
          <w:sz w:val="32"/>
          <w:szCs w:val="32"/>
          <w14:textFill>
            <w14:solidFill>
              <w14:schemeClr w14:val="tx1"/>
            </w14:solidFill>
          </w14:textFill>
        </w:rPr>
        <w:t>：</w:t>
      </w:r>
    </w:p>
    <w:p>
      <w:pPr>
        <w:numPr>
          <w:ilvl w:val="255"/>
          <w:numId w:val="0"/>
        </w:numPr>
        <w:spacing w:afterLines="0" w:line="600" w:lineRule="exact"/>
        <w:ind w:firstLine="642"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b/>
          <w:color w:val="auto"/>
          <w:sz w:val="32"/>
          <w:szCs w:val="32"/>
        </w:rPr>
        <w:t>（一）优化</w:t>
      </w:r>
      <w:r>
        <w:rPr>
          <w:rFonts w:hint="eastAsia" w:ascii="Times New Roman" w:hAnsi="Times New Roman" w:eastAsia="楷体_GB2312" w:cs="Times New Roman"/>
          <w:b/>
          <w:color w:val="auto"/>
          <w:sz w:val="32"/>
          <w:szCs w:val="32"/>
          <w:lang w:val="en-US" w:eastAsia="zh-CN"/>
        </w:rPr>
        <w:t>布局结构。</w:t>
      </w:r>
      <w:r>
        <w:rPr>
          <w:rFonts w:hint="default" w:ascii="Times New Roman" w:hAnsi="Times New Roman" w:eastAsia="仿宋_GB2312" w:cs="Times New Roman"/>
          <w:color w:val="000000" w:themeColor="text1"/>
          <w:sz w:val="32"/>
          <w:szCs w:val="32"/>
          <w14:textFill>
            <w14:solidFill>
              <w14:schemeClr w14:val="tx1"/>
            </w14:solidFill>
          </w14:textFill>
        </w:rPr>
        <w:t>各省级教育行政部门和有关高校要积极推进校本部加线上教学的培养模式，要</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坚持</w:t>
      </w:r>
      <w:r>
        <w:rPr>
          <w:rFonts w:hint="default" w:ascii="Times New Roman" w:hAnsi="Times New Roman" w:eastAsia="仿宋_GB2312" w:cs="Times New Roman"/>
          <w:color w:val="000000" w:themeColor="text1"/>
          <w:sz w:val="32"/>
          <w:szCs w:val="32"/>
          <w14:textFill>
            <w14:solidFill>
              <w14:schemeClr w14:val="tx1"/>
            </w14:solidFill>
          </w14:textFill>
        </w:rPr>
        <w:t>从严控制新增校外教学点</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特别是依托民办非企业单位设置的校外教学点</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高校</w:t>
      </w:r>
      <w:r>
        <w:rPr>
          <w:rFonts w:hint="default" w:ascii="Times New Roman" w:hAnsi="Times New Roman" w:eastAsia="仿宋_GB2312" w:cs="Times New Roman"/>
          <w:color w:val="000000" w:themeColor="text1"/>
          <w:sz w:val="32"/>
          <w:szCs w:val="32"/>
          <w14:textFill>
            <w14:solidFill>
              <w14:schemeClr w14:val="tx1"/>
            </w14:solidFill>
          </w14:textFill>
        </w:rPr>
        <w:t>要慎重选择设点单位，</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特别是为高校提供医学类、艺术类专业学习支持服务的，要严格审核</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设点单位专业办学条件</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各地要巩固校外教学点规范管理成果，加大省域统筹力度，优先保证“双一流”建设、“双高”等高水平大学设置的急需紧缺专业办学需要，重点支持教育强国建设有关项目、试点需要，</w:t>
      </w:r>
      <w:r>
        <w:rPr>
          <w:rFonts w:hint="default" w:ascii="Times New Roman" w:hAnsi="Times New Roman" w:eastAsia="仿宋_GB2312" w:cs="Times New Roman"/>
          <w:color w:val="000000" w:themeColor="text1"/>
          <w:sz w:val="32"/>
          <w:szCs w:val="32"/>
          <w14:textFill>
            <w14:solidFill>
              <w14:schemeClr w14:val="tx1"/>
            </w14:solidFill>
          </w14:textFill>
        </w:rPr>
        <w:t>推进校外教学点</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规模保持稳定、</w:t>
      </w:r>
      <w:r>
        <w:rPr>
          <w:rFonts w:hint="default" w:ascii="Times New Roman" w:hAnsi="Times New Roman" w:eastAsia="仿宋_GB2312" w:cs="Times New Roman"/>
          <w:color w:val="000000" w:themeColor="text1"/>
          <w:sz w:val="32"/>
          <w:szCs w:val="32"/>
          <w14:textFill>
            <w14:solidFill>
              <w14:schemeClr w14:val="tx1"/>
            </w14:solidFill>
          </w14:textFill>
        </w:rPr>
        <w:t>布局</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持续</w:t>
      </w:r>
      <w:r>
        <w:rPr>
          <w:rFonts w:hint="default" w:ascii="Times New Roman" w:hAnsi="Times New Roman" w:eastAsia="仿宋_GB2312" w:cs="Times New Roman"/>
          <w:color w:val="000000" w:themeColor="text1"/>
          <w:sz w:val="32"/>
          <w:szCs w:val="32"/>
          <w14:textFill>
            <w14:solidFill>
              <w14:schemeClr w14:val="tx1"/>
            </w14:solidFill>
          </w14:textFill>
        </w:rPr>
        <w:t>优化。</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2025年度</w:t>
      </w:r>
      <w:r>
        <w:rPr>
          <w:rFonts w:hint="default" w:ascii="Times New Roman" w:hAnsi="Times New Roman" w:eastAsia="仿宋_GB2312" w:cs="Times New Roman"/>
          <w:color w:val="000000" w:themeColor="text1"/>
          <w:sz w:val="32"/>
          <w:szCs w:val="32"/>
          <w14:textFill>
            <w14:solidFill>
              <w14:schemeClr w14:val="tx1"/>
            </w14:solidFill>
          </w14:textFill>
        </w:rPr>
        <w:t>调整后的本省校外教学点总数一般不得突破上一年度本省校外教学点总数（不含中央部门所属高校和外省高校在本省设置的校外教学点）。</w:t>
      </w:r>
    </w:p>
    <w:p>
      <w:pPr>
        <w:numPr>
          <w:ilvl w:val="255"/>
          <w:numId w:val="0"/>
        </w:numPr>
        <w:spacing w:afterLines="0" w:line="600" w:lineRule="exact"/>
        <w:ind w:firstLine="642"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b/>
          <w:color w:val="auto"/>
          <w:sz w:val="32"/>
          <w:szCs w:val="32"/>
        </w:rPr>
        <w:t>（二）强化日常监管</w:t>
      </w:r>
      <w:r>
        <w:rPr>
          <w:rFonts w:hint="eastAsia" w:ascii="Times New Roman" w:hAnsi="Times New Roman" w:eastAsia="楷体_GB2312" w:cs="Times New Roman"/>
          <w:b/>
          <w:color w:val="auto"/>
          <w:sz w:val="32"/>
          <w:szCs w:val="32"/>
          <w:lang w:eastAsia="zh-CN"/>
        </w:rPr>
        <w:t>。</w:t>
      </w:r>
      <w:r>
        <w:rPr>
          <w:rFonts w:hint="default" w:ascii="Times New Roman" w:hAnsi="Times New Roman" w:eastAsia="仿宋_GB2312" w:cs="Times New Roman"/>
          <w:color w:val="000000" w:themeColor="text1"/>
          <w:sz w:val="32"/>
          <w:szCs w:val="32"/>
          <w14:textFill>
            <w14:solidFill>
              <w14:schemeClr w14:val="tx1"/>
            </w14:solidFill>
          </w14:textFill>
        </w:rPr>
        <w:t>各有关高校要落实办学主体责任，切实推进</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管办分离</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，校内继续教育管理机构要加强对办学单位的</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常态化</w:t>
      </w:r>
      <w:r>
        <w:rPr>
          <w:rFonts w:hint="default" w:ascii="Times New Roman" w:hAnsi="Times New Roman" w:eastAsia="仿宋_GB2312" w:cs="Times New Roman"/>
          <w:color w:val="000000" w:themeColor="text1"/>
          <w:sz w:val="32"/>
          <w:szCs w:val="32"/>
          <w14:textFill>
            <w14:solidFill>
              <w14:schemeClr w14:val="tx1"/>
            </w14:solidFill>
          </w14:textFill>
        </w:rPr>
        <w:t>监督管理，层层压实责任，对不符合教育教学要求或条件较弱的校外教学点要及时指导整改、暂停招生或主动撤销。各省级教育行政部门要</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结合民办教育机构年检、教育督导等工作，</w:t>
      </w:r>
      <w:r>
        <w:rPr>
          <w:rFonts w:hint="default" w:ascii="Times New Roman" w:hAnsi="Times New Roman" w:eastAsia="仿宋_GB2312" w:cs="Times New Roman"/>
          <w:color w:val="000000" w:themeColor="text1"/>
          <w:sz w:val="32"/>
          <w:szCs w:val="32"/>
          <w14:textFill>
            <w14:solidFill>
              <w14:schemeClr w14:val="tx1"/>
            </w14:solidFill>
          </w14:textFill>
        </w:rPr>
        <w:t>加强对省域内高校继续教育校外教学点</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自考助学活动</w:t>
      </w:r>
      <w:r>
        <w:rPr>
          <w:rFonts w:hint="default" w:ascii="Times New Roman" w:hAnsi="Times New Roman" w:eastAsia="仿宋_GB2312" w:cs="Times New Roman"/>
          <w:color w:val="000000" w:themeColor="text1"/>
          <w:sz w:val="32"/>
          <w:szCs w:val="32"/>
          <w14:textFill>
            <w14:solidFill>
              <w14:schemeClr w14:val="tx1"/>
            </w14:solidFill>
          </w14:textFill>
        </w:rPr>
        <w:t>的日常监管和检查评估</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有效防范化解风险隐患</w:t>
      </w:r>
      <w:r>
        <w:rPr>
          <w:rFonts w:hint="default" w:ascii="Times New Roman" w:hAnsi="Times New Roman" w:eastAsia="仿宋_GB2312" w:cs="Times New Roman"/>
          <w:color w:val="000000" w:themeColor="text1"/>
          <w:sz w:val="32"/>
          <w:szCs w:val="32"/>
          <w14:textFill>
            <w14:solidFill>
              <w14:schemeClr w14:val="tx1"/>
            </w14:solidFill>
          </w14:textFill>
        </w:rPr>
        <w:t>。对因各种原因停止招收新生的校外教学点，高校须会同设点单位做好善后工作，确保稳妥完成在籍学生培养任务。</w:t>
      </w: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有关校外教学点</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设置管理</w:t>
      </w:r>
      <w:r>
        <w:rPr>
          <w:rFonts w:hint="default" w:ascii="Times New Roman" w:hAnsi="Times New Roman" w:eastAsia="仿宋_GB2312" w:cs="Times New Roman"/>
          <w:color w:val="000000" w:themeColor="text1"/>
          <w:sz w:val="32"/>
          <w:szCs w:val="32"/>
          <w14:textFill>
            <w14:solidFill>
              <w14:schemeClr w14:val="tx1"/>
            </w14:solidFill>
          </w14:textFill>
        </w:rPr>
        <w:t>工作的具体安排见附4。</w:t>
      </w:r>
    </w:p>
    <w:p>
      <w:pPr>
        <w:numPr>
          <w:ilvl w:val="255"/>
          <w:numId w:val="0"/>
        </w:numPr>
        <w:spacing w:afterLines="0" w:line="600" w:lineRule="exact"/>
        <w:ind w:firstLine="640" w:firstLineChars="200"/>
        <w:rPr>
          <w:rFonts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三、工作要求</w:t>
      </w:r>
    </w:p>
    <w:p>
      <w:pPr>
        <w:numPr>
          <w:ilvl w:val="-1"/>
          <w:numId w:val="0"/>
        </w:numPr>
        <w:spacing w:afterLines="0" w:line="600" w:lineRule="exact"/>
        <w:ind w:firstLine="642"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b/>
          <w:color w:val="auto"/>
          <w:sz w:val="32"/>
          <w:szCs w:val="32"/>
        </w:rPr>
        <w:t>（一）</w:t>
      </w:r>
      <w:r>
        <w:rPr>
          <w:rFonts w:hint="eastAsia" w:ascii="Times New Roman" w:hAnsi="Times New Roman" w:eastAsia="楷体_GB2312" w:cs="Times New Roman"/>
          <w:b/>
          <w:color w:val="auto"/>
          <w:sz w:val="32"/>
          <w:szCs w:val="32"/>
          <w:lang w:val="en-US" w:eastAsia="zh-CN"/>
        </w:rPr>
        <w:t>确保信息准确。</w:t>
      </w:r>
      <w:r>
        <w:rPr>
          <w:rFonts w:hint="default" w:ascii="Times New Roman" w:hAnsi="Times New Roman" w:eastAsia="仿宋_GB2312" w:cs="Times New Roman"/>
          <w:color w:val="000000" w:themeColor="text1"/>
          <w:sz w:val="32"/>
          <w:szCs w:val="32"/>
          <w14:textFill>
            <w14:solidFill>
              <w14:schemeClr w14:val="tx1"/>
            </w14:solidFill>
          </w14:textFill>
        </w:rPr>
        <w:t>省级教育行政部门、省级高等教育自学考试委员会、高校等各类主体均要按规定</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对</w:t>
      </w:r>
      <w:r>
        <w:rPr>
          <w:rFonts w:hint="default" w:ascii="Times New Roman" w:hAnsi="Times New Roman" w:eastAsia="仿宋_GB2312" w:cs="Times New Roman"/>
          <w:color w:val="000000" w:themeColor="text1"/>
          <w:sz w:val="32"/>
          <w:szCs w:val="32"/>
          <w14:textFill>
            <w14:solidFill>
              <w14:schemeClr w14:val="tx1"/>
            </w14:solidFill>
          </w14:textFill>
        </w:rPr>
        <w:t>专业和校外教学点备案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材料认真把关。</w:t>
      </w:r>
      <w:r>
        <w:rPr>
          <w:rFonts w:hint="default" w:ascii="Times New Roman" w:hAnsi="Times New Roman" w:eastAsia="仿宋_GB2312" w:cs="Times New Roman"/>
          <w:color w:val="000000" w:themeColor="text1"/>
          <w:sz w:val="32"/>
          <w:szCs w:val="32"/>
          <w14:textFill>
            <w14:solidFill>
              <w14:schemeClr w14:val="tx1"/>
            </w14:solidFill>
          </w14:textFill>
        </w:rPr>
        <w:t>教育部将加大对各地高等学历继续教育专业和校外教学点设置工作指导力度。</w:t>
      </w:r>
    </w:p>
    <w:p>
      <w:pPr>
        <w:numPr>
          <w:ilvl w:val="-1"/>
          <w:numId w:val="0"/>
        </w:numPr>
        <w:spacing w:afterLines="0" w:line="600" w:lineRule="exact"/>
        <w:ind w:firstLine="642"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b/>
          <w:color w:val="auto"/>
          <w:sz w:val="32"/>
          <w:szCs w:val="32"/>
        </w:rPr>
        <w:t>（二）加强工作协同</w:t>
      </w:r>
      <w:r>
        <w:rPr>
          <w:rFonts w:hint="eastAsia" w:ascii="Times New Roman" w:hAnsi="Times New Roman" w:eastAsia="楷体_GB2312" w:cs="Times New Roman"/>
          <w:b/>
          <w:color w:val="auto"/>
          <w:sz w:val="32"/>
          <w:szCs w:val="32"/>
          <w:lang w:eastAsia="zh-CN"/>
        </w:rPr>
        <w:t>。</w:t>
      </w:r>
      <w:r>
        <w:rPr>
          <w:rFonts w:hint="default" w:ascii="Times New Roman" w:hAnsi="Times New Roman" w:eastAsia="仿宋_GB2312" w:cs="Times New Roman"/>
          <w:color w:val="000000" w:themeColor="text1"/>
          <w:sz w:val="32"/>
          <w:szCs w:val="32"/>
          <w14:textFill>
            <w14:solidFill>
              <w14:schemeClr w14:val="tx1"/>
            </w14:solidFill>
          </w14:textFill>
        </w:rPr>
        <w:t>各省级教育行政部门要按照要求，总结2025年专业设置和校外教学点设置工作，及时修订完善有关制度和工作流程，进一步加强省内教育考试机构、省内高校和中央部委所属高校（含国家开放大学）、省级教育行政部门之间的</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信息沟通和</w:t>
      </w:r>
      <w:r>
        <w:rPr>
          <w:rFonts w:hint="default" w:ascii="Times New Roman" w:hAnsi="Times New Roman" w:eastAsia="仿宋_GB2312" w:cs="Times New Roman"/>
          <w:color w:val="000000" w:themeColor="text1"/>
          <w:sz w:val="32"/>
          <w:szCs w:val="32"/>
          <w14:textFill>
            <w14:solidFill>
              <w14:schemeClr w14:val="tx1"/>
            </w14:solidFill>
          </w14:textFill>
        </w:rPr>
        <w:t>工作协同，严格按照规定程序、时间和标准完成相关工作，通过全国高等继续教育信息管理系统（网址：http://jxjy.moe.edu.cn）按时提交有关汇总表和工作报告。</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教育部</w:t>
      </w:r>
      <w:r>
        <w:rPr>
          <w:rFonts w:hint="default" w:ascii="Times New Roman" w:hAnsi="Times New Roman" w:eastAsia="仿宋_GB2312" w:cs="Times New Roman"/>
          <w:color w:val="000000" w:themeColor="text1"/>
          <w:sz w:val="32"/>
          <w:szCs w:val="32"/>
          <w14:textFill>
            <w14:solidFill>
              <w14:schemeClr w14:val="tx1"/>
            </w14:solidFill>
          </w14:textFill>
        </w:rPr>
        <w:t>将加强工作</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过程管理</w:t>
      </w:r>
      <w:r>
        <w:rPr>
          <w:rFonts w:hint="default" w:ascii="Times New Roman" w:hAnsi="Times New Roman" w:eastAsia="仿宋_GB2312" w:cs="Times New Roman"/>
          <w:color w:val="000000" w:themeColor="text1"/>
          <w:sz w:val="32"/>
          <w:szCs w:val="32"/>
          <w14:textFill>
            <w14:solidFill>
              <w14:schemeClr w14:val="tx1"/>
            </w14:solidFill>
          </w14:textFill>
        </w:rPr>
        <w:t>，逾期</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未</w:t>
      </w:r>
      <w:r>
        <w:rPr>
          <w:rFonts w:hint="default" w:ascii="Times New Roman" w:hAnsi="Times New Roman" w:eastAsia="仿宋_GB2312" w:cs="Times New Roman"/>
          <w:color w:val="000000" w:themeColor="text1"/>
          <w:sz w:val="32"/>
          <w:szCs w:val="32"/>
          <w14:textFill>
            <w14:solidFill>
              <w14:schemeClr w14:val="tx1"/>
            </w14:solidFill>
          </w14:textFill>
        </w:rPr>
        <w:t>报送的</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将</w:t>
      </w:r>
      <w:r>
        <w:rPr>
          <w:rFonts w:hint="default" w:ascii="Times New Roman" w:hAnsi="Times New Roman" w:eastAsia="仿宋_GB2312" w:cs="Times New Roman"/>
          <w:color w:val="000000" w:themeColor="text1"/>
          <w:sz w:val="32"/>
          <w:szCs w:val="32"/>
          <w14:textFill>
            <w14:solidFill>
              <w14:schemeClr w14:val="tx1"/>
            </w14:solidFill>
          </w14:textFill>
        </w:rPr>
        <w:t>不再受理。</w:t>
      </w:r>
    </w:p>
    <w:p>
      <w:pPr>
        <w:numPr>
          <w:ilvl w:val="255"/>
          <w:numId w:val="0"/>
        </w:numPr>
        <w:spacing w:afterLines="0" w:line="600" w:lineRule="exact"/>
        <w:ind w:firstLine="642" w:firstLineChars="200"/>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ascii="Times New Roman" w:hAnsi="Times New Roman" w:eastAsia="楷体_GB2312" w:cs="Times New Roman"/>
          <w:b/>
          <w:color w:val="auto"/>
          <w:sz w:val="32"/>
          <w:szCs w:val="32"/>
          <w:lang w:eastAsia="zh-CN"/>
        </w:rPr>
        <w:t>（</w:t>
      </w:r>
      <w:r>
        <w:rPr>
          <w:rFonts w:hint="eastAsia" w:ascii="Times New Roman" w:hAnsi="Times New Roman" w:eastAsia="楷体_GB2312" w:cs="Times New Roman"/>
          <w:b/>
          <w:color w:val="auto"/>
          <w:sz w:val="32"/>
          <w:szCs w:val="32"/>
          <w:lang w:val="en-US" w:eastAsia="zh-CN"/>
        </w:rPr>
        <w:t>三</w:t>
      </w:r>
      <w:r>
        <w:rPr>
          <w:rFonts w:hint="eastAsia" w:ascii="Times New Roman" w:hAnsi="Times New Roman" w:eastAsia="楷体_GB2312" w:cs="Times New Roman"/>
          <w:b/>
          <w:color w:val="auto"/>
          <w:sz w:val="32"/>
          <w:szCs w:val="32"/>
          <w:lang w:eastAsia="zh-CN"/>
        </w:rPr>
        <w:t>）</w:t>
      </w:r>
      <w:r>
        <w:rPr>
          <w:rFonts w:hint="eastAsia" w:ascii="Times New Roman" w:hAnsi="Times New Roman" w:eastAsia="楷体_GB2312" w:cs="Times New Roman"/>
          <w:b/>
          <w:color w:val="auto"/>
          <w:sz w:val="32"/>
          <w:szCs w:val="32"/>
          <w:lang w:val="en-US" w:eastAsia="zh-CN"/>
        </w:rPr>
        <w:t>落实工作</w:t>
      </w:r>
      <w:r>
        <w:rPr>
          <w:rFonts w:hint="default" w:ascii="Times New Roman" w:hAnsi="Times New Roman" w:eastAsia="楷体_GB2312" w:cs="Times New Roman"/>
          <w:b/>
          <w:color w:val="auto"/>
          <w:sz w:val="32"/>
          <w:szCs w:val="32"/>
        </w:rPr>
        <w:t>责任</w:t>
      </w:r>
      <w:r>
        <w:rPr>
          <w:rFonts w:hint="eastAsia" w:ascii="Times New Roman" w:hAnsi="Times New Roman" w:eastAsia="楷体_GB2312" w:cs="Times New Roman"/>
          <w:b/>
          <w:color w:val="auto"/>
          <w:sz w:val="32"/>
          <w:szCs w:val="32"/>
          <w:lang w:eastAsia="zh-CN"/>
        </w:rPr>
        <w:t>。</w:t>
      </w:r>
      <w:r>
        <w:rPr>
          <w:rFonts w:hint="default" w:ascii="Times New Roman" w:hAnsi="Times New Roman" w:eastAsia="仿宋_GB2312" w:cs="Times New Roman"/>
          <w:color w:val="000000" w:themeColor="text1"/>
          <w:sz w:val="32"/>
          <w:szCs w:val="32"/>
          <w14:textFill>
            <w14:solidFill>
              <w14:schemeClr w14:val="tx1"/>
            </w14:solidFill>
          </w14:textFill>
        </w:rPr>
        <w:t>高校要严格按照专业设置结果和校外教学点</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设置</w:t>
      </w:r>
      <w:r>
        <w:rPr>
          <w:rFonts w:hint="default" w:ascii="Times New Roman" w:hAnsi="Times New Roman" w:eastAsia="仿宋_GB2312" w:cs="Times New Roman"/>
          <w:color w:val="000000" w:themeColor="text1"/>
          <w:sz w:val="32"/>
          <w:szCs w:val="32"/>
          <w14:textFill>
            <w14:solidFill>
              <w14:schemeClr w14:val="tx1"/>
            </w14:solidFill>
          </w14:textFill>
        </w:rPr>
        <w:t>结果开展继续教育办学和招生录取。省级教育行政部门要对存在办学条件不足、教学（考试）管理不规范等情况的办学主体，视</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情况</w:t>
      </w:r>
      <w:r>
        <w:rPr>
          <w:rFonts w:hint="default" w:ascii="Times New Roman" w:hAnsi="Times New Roman" w:eastAsia="仿宋_GB2312" w:cs="Times New Roman"/>
          <w:color w:val="000000" w:themeColor="text1"/>
          <w:sz w:val="32"/>
          <w:szCs w:val="32"/>
          <w14:textFill>
            <w14:solidFill>
              <w14:schemeClr w14:val="tx1"/>
            </w14:solidFill>
          </w14:textFill>
        </w:rPr>
        <w:t>给予责令限期整改、暂停招生、暂停设置新专业</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通报批评</w:t>
      </w:r>
      <w:r>
        <w:rPr>
          <w:rFonts w:hint="default" w:ascii="Times New Roman" w:hAnsi="Times New Roman" w:eastAsia="仿宋_GB2312" w:cs="Times New Roman"/>
          <w:color w:val="000000" w:themeColor="text1"/>
          <w:sz w:val="32"/>
          <w:szCs w:val="32"/>
          <w14:textFill>
            <w14:solidFill>
              <w14:schemeClr w14:val="tx1"/>
            </w14:solidFill>
          </w14:textFill>
        </w:rPr>
        <w:t>等处理。对在专业和校外教学点设置工作中出现抓而不紧、管而不实、程序不清、把关不严、弄虚作假等问题的单位和人员，</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要</w:t>
      </w:r>
      <w:r>
        <w:rPr>
          <w:rFonts w:hint="default" w:ascii="Times New Roman" w:hAnsi="Times New Roman" w:eastAsia="仿宋_GB2312" w:cs="Times New Roman"/>
          <w:color w:val="000000" w:themeColor="text1"/>
          <w:sz w:val="32"/>
          <w:szCs w:val="32"/>
          <w14:textFill>
            <w14:solidFill>
              <w14:schemeClr w14:val="tx1"/>
            </w14:solidFill>
          </w14:textFill>
        </w:rPr>
        <w:t>按有关规定严肃追责问责。</w:t>
      </w:r>
    </w:p>
    <w:p>
      <w:pPr>
        <w:numPr>
          <w:ilvl w:val="255"/>
          <w:numId w:val="0"/>
        </w:numPr>
        <w:spacing w:afterLines="0" w:line="600" w:lineRule="exact"/>
        <w:ind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高校如有账号新设或更名问题，由所在地省级教育行政部门统一提出申请，经教育部核准后办理。各省级教育考试机构用户名、密码由教育部教育考试院统一发放。</w:t>
      </w: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联系方式</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技术支持：</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1</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8613800798</w:t>
      </w:r>
      <w:r>
        <w:rPr>
          <w:rFonts w:hint="default" w:ascii="Times New Roman" w:hAnsi="Times New Roman" w:eastAsia="仿宋_GB2312" w:cs="Times New Roman"/>
          <w:color w:val="000000" w:themeColor="text1"/>
          <w:sz w:val="32"/>
          <w:szCs w:val="32"/>
          <w14:textFill>
            <w14:solidFill>
              <w14:schemeClr w14:val="tx1"/>
            </w14:solidFill>
          </w14:textFill>
        </w:rPr>
        <w:t>。政策咨询：教育部职业教育与成人教育司</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010-6609</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7822</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电子邮箱：dce@moe.edu.cn；教育部教育考试院（自学考试领域相关）010-62790335，电子邮箱：bgs@mail.neea.cn。</w:t>
      </w:r>
    </w:p>
    <w:p>
      <w:pPr>
        <w:numPr>
          <w:ilvl w:val="255"/>
          <w:numId w:val="0"/>
        </w:numPr>
        <w:spacing w:afterLines="0" w:line="600" w:lineRule="exact"/>
        <w:ind w:firstLine="640" w:firstLineChars="200"/>
        <w:rPr>
          <w:rFonts w:ascii="Times New Roman" w:hAnsi="Times New Roman" w:eastAsia="仿宋_GB2312" w:cs="Times New Roman"/>
          <w:color w:val="FF0000"/>
          <w:sz w:val="32"/>
          <w:szCs w:val="32"/>
        </w:rPr>
      </w:pP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附件：1.</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高等学历继续教育补充目录</w:t>
      </w:r>
      <w:r>
        <w:rPr>
          <w:rFonts w:hint="default" w:ascii="Times New Roman" w:hAnsi="Times New Roman" w:eastAsia="仿宋_GB2312" w:cs="Times New Roman"/>
          <w:color w:val="000000" w:themeColor="text1"/>
          <w:sz w:val="32"/>
          <w:szCs w:val="32"/>
          <w14:textFill>
            <w14:solidFill>
              <w14:schemeClr w14:val="tx1"/>
            </w14:solidFill>
          </w14:textFill>
        </w:rPr>
        <w:t>新旧专业对照表</w:t>
      </w:r>
    </w:p>
    <w:p>
      <w:pPr>
        <w:numPr>
          <w:ilvl w:val="255"/>
          <w:numId w:val="0"/>
        </w:numPr>
        <w:spacing w:afterLines="0" w:line="600" w:lineRule="exact"/>
        <w:ind w:firstLine="1600" w:firstLineChars="500"/>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HYPERLINK "http://www.moe.gov.cn/s78/A07/A07_sjhj/202312/W020231218607700296339.docx" \t "_blank" </w:instrText>
      </w:r>
      <w:r>
        <w:rPr>
          <w:rFonts w:ascii="Times New Roman" w:hAnsi="Times New Roman" w:cs="Times New Roman"/>
          <w:sz w:val="32"/>
          <w:szCs w:val="32"/>
        </w:rPr>
        <w:fldChar w:fldCharType="separate"/>
      </w:r>
      <w:r>
        <w:rPr>
          <w:rFonts w:hint="default" w:ascii="Times New Roman" w:hAnsi="Times New Roman" w:eastAsia="仿宋_GB2312" w:cs="Times New Roman"/>
          <w:color w:val="000000" w:themeColor="text1"/>
          <w:sz w:val="32"/>
          <w:szCs w:val="32"/>
          <w14:textFill>
            <w14:solidFill>
              <w14:schemeClr w14:val="tx1"/>
            </w14:solidFill>
          </w14:textFill>
        </w:rPr>
        <w:t>高等</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教育</w:t>
      </w:r>
      <w:r>
        <w:rPr>
          <w:rFonts w:hint="default" w:ascii="Times New Roman" w:hAnsi="Times New Roman" w:eastAsia="仿宋_GB2312" w:cs="Times New Roman"/>
          <w:color w:val="000000" w:themeColor="text1"/>
          <w:sz w:val="32"/>
          <w:szCs w:val="32"/>
          <w14:textFill>
            <w14:solidFill>
              <w14:schemeClr w14:val="tx1"/>
            </w14:solidFill>
          </w14:textFill>
        </w:rPr>
        <w:t>自学考试</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开考</w:t>
      </w:r>
      <w:r>
        <w:rPr>
          <w:rFonts w:hint="default" w:ascii="Times New Roman" w:hAnsi="Times New Roman" w:eastAsia="仿宋_GB2312" w:cs="Times New Roman"/>
          <w:color w:val="000000" w:themeColor="text1"/>
          <w:sz w:val="32"/>
          <w:szCs w:val="32"/>
          <w14:textFill>
            <w14:solidFill>
              <w14:schemeClr w14:val="tx1"/>
            </w14:solidFill>
          </w14:textFill>
        </w:rPr>
        <w:t>专业清单</w:t>
      </w:r>
      <w:r>
        <w:rPr>
          <w:rFonts w:hint="default" w:ascii="Times New Roman" w:hAnsi="Times New Roman" w:eastAsia="仿宋_GB2312" w:cs="Times New Roman"/>
          <w:color w:val="000000" w:themeColor="text1"/>
          <w:sz w:val="32"/>
          <w:szCs w:val="32"/>
          <w14:textFill>
            <w14:solidFill>
              <w14:schemeClr w14:val="tx1"/>
            </w14:solidFill>
          </w14:textFill>
        </w:rPr>
        <w:fldChar w:fldCharType="end"/>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略</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p>
    <w:p>
      <w:pPr>
        <w:numPr>
          <w:ilvl w:val="255"/>
          <w:numId w:val="0"/>
        </w:numPr>
        <w:spacing w:afterLines="0" w:line="600" w:lineRule="exact"/>
        <w:ind w:firstLine="1600" w:firstLineChars="500"/>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3.</w:t>
      </w:r>
      <w:r>
        <w:rPr>
          <w:rFonts w:ascii="Times New Roman" w:hAnsi="Times New Roman" w:eastAsia="仿宋_GB2312" w:cs="Times New Roman"/>
          <w:color w:val="000000" w:themeColor="text1"/>
          <w:sz w:val="32"/>
          <w:szCs w:val="32"/>
          <w14:textFill>
            <w14:solidFill>
              <w14:schemeClr w14:val="tx1"/>
            </w14:solidFill>
          </w14:textFill>
        </w:rPr>
        <w:fldChar w:fldCharType="begin"/>
      </w:r>
      <w:r>
        <w:rPr>
          <w:rFonts w:ascii="Times New Roman" w:hAnsi="Times New Roman" w:eastAsia="仿宋_GB2312" w:cs="Times New Roman"/>
          <w:color w:val="000000" w:themeColor="text1"/>
          <w:sz w:val="32"/>
          <w:szCs w:val="32"/>
          <w14:textFill>
            <w14:solidFill>
              <w14:schemeClr w14:val="tx1"/>
            </w14:solidFill>
          </w14:textFill>
        </w:rPr>
        <w:instrText xml:space="preserve"> HYPERLINK "http://www.moe.gov.cn/s78/A07/A07_sjhj/202312/W020231218607700296339.docx" \t "_blank" </w:instrText>
      </w:r>
      <w:r>
        <w:rPr>
          <w:rFonts w:ascii="Times New Roman" w:hAnsi="Times New Roman" w:eastAsia="仿宋_GB2312" w:cs="Times New Roman"/>
          <w:color w:val="000000" w:themeColor="text1"/>
          <w:sz w:val="32"/>
          <w:szCs w:val="32"/>
          <w14:textFill>
            <w14:solidFill>
              <w14:schemeClr w14:val="tx1"/>
            </w14:solidFill>
          </w14:textFill>
        </w:rPr>
        <w:fldChar w:fldCharType="separate"/>
      </w:r>
      <w:r>
        <w:rPr>
          <w:rFonts w:hint="default" w:ascii="Times New Roman" w:hAnsi="Times New Roman" w:eastAsia="仿宋_GB2312" w:cs="Times New Roman"/>
          <w:color w:val="000000" w:themeColor="text1"/>
          <w:sz w:val="32"/>
          <w:szCs w:val="32"/>
          <w14:textFill>
            <w14:solidFill>
              <w14:schemeClr w14:val="tx1"/>
            </w14:solidFill>
          </w14:textFill>
        </w:rPr>
        <w:t>专业设置备案工作</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具体</w:t>
      </w:r>
      <w:r>
        <w:rPr>
          <w:rFonts w:hint="default" w:ascii="Times New Roman" w:hAnsi="Times New Roman" w:eastAsia="仿宋_GB2312" w:cs="Times New Roman"/>
          <w:color w:val="000000" w:themeColor="text1"/>
          <w:sz w:val="32"/>
          <w:szCs w:val="32"/>
          <w14:textFill>
            <w14:solidFill>
              <w14:schemeClr w14:val="tx1"/>
            </w14:solidFill>
          </w14:textFill>
        </w:rPr>
        <w:t>安排</w:t>
      </w:r>
      <w:r>
        <w:rPr>
          <w:rFonts w:hint="default" w:ascii="Times New Roman" w:hAnsi="Times New Roman" w:eastAsia="仿宋_GB2312" w:cs="Times New Roman"/>
          <w:color w:val="000000" w:themeColor="text1"/>
          <w:sz w:val="32"/>
          <w:szCs w:val="32"/>
          <w14:textFill>
            <w14:solidFill>
              <w14:schemeClr w14:val="tx1"/>
            </w14:solidFill>
          </w14:textFill>
        </w:rPr>
        <w:fldChar w:fldCharType="end"/>
      </w:r>
    </w:p>
    <w:p>
      <w:pPr>
        <w:numPr>
          <w:ilvl w:val="255"/>
          <w:numId w:val="0"/>
        </w:numPr>
        <w:spacing w:afterLines="0" w:line="600" w:lineRule="exact"/>
        <w:ind w:left="1916" w:leftChars="760" w:hanging="320" w:hangingChars="100"/>
        <w:rPr>
          <w:rFonts w:hint="default"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4</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HYPERLINK "http://www.moe.gov.cn/s78/A07/A07_sjhj/202312/W020231218607700306053.docx" \t "_blank" </w:instrText>
      </w:r>
      <w:r>
        <w:rPr>
          <w:rFonts w:ascii="Times New Roman" w:hAnsi="Times New Roman" w:cs="Times New Roman"/>
          <w:sz w:val="32"/>
          <w:szCs w:val="32"/>
        </w:rPr>
        <w:fldChar w:fldCharType="separate"/>
      </w:r>
      <w:r>
        <w:rPr>
          <w:rFonts w:hint="default" w:ascii="Times New Roman" w:hAnsi="Times New Roman" w:eastAsia="仿宋_GB2312" w:cs="Times New Roman"/>
          <w:color w:val="000000" w:themeColor="text1"/>
          <w:sz w:val="32"/>
          <w:szCs w:val="32"/>
          <w14:textFill>
            <w14:solidFill>
              <w14:schemeClr w14:val="tx1"/>
            </w14:solidFill>
          </w14:textFill>
        </w:rPr>
        <w:t>校外教学点设置</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管理</w:t>
      </w:r>
      <w:r>
        <w:rPr>
          <w:rFonts w:hint="default" w:ascii="Times New Roman" w:hAnsi="Times New Roman" w:eastAsia="仿宋_GB2312" w:cs="Times New Roman"/>
          <w:color w:val="000000" w:themeColor="text1"/>
          <w:sz w:val="32"/>
          <w:szCs w:val="32"/>
          <w14:textFill>
            <w14:solidFill>
              <w14:schemeClr w14:val="tx1"/>
            </w14:solidFill>
          </w14:textFill>
        </w:rPr>
        <w:t>工作</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具体</w:t>
      </w:r>
      <w:r>
        <w:rPr>
          <w:rFonts w:hint="default" w:ascii="Times New Roman" w:hAnsi="Times New Roman" w:eastAsia="仿宋_GB2312" w:cs="Times New Roman"/>
          <w:color w:val="000000" w:themeColor="text1"/>
          <w:sz w:val="32"/>
          <w:szCs w:val="32"/>
          <w14:textFill>
            <w14:solidFill>
              <w14:schemeClr w14:val="tx1"/>
            </w14:solidFill>
          </w14:textFill>
        </w:rPr>
        <w:t>安排</w:t>
      </w:r>
      <w:r>
        <w:rPr>
          <w:rFonts w:hint="default" w:ascii="Times New Roman" w:hAnsi="Times New Roman" w:eastAsia="仿宋_GB2312" w:cs="Times New Roman"/>
          <w:color w:val="000000" w:themeColor="text1"/>
          <w:sz w:val="32"/>
          <w:szCs w:val="32"/>
          <w14:textFill>
            <w14:solidFill>
              <w14:schemeClr w14:val="tx1"/>
            </w14:solidFill>
          </w14:textFill>
        </w:rPr>
        <w:fldChar w:fldCharType="end"/>
      </w:r>
    </w:p>
    <w:p>
      <w:pPr>
        <w:numPr>
          <w:ilvl w:val="255"/>
          <w:numId w:val="0"/>
        </w:numPr>
        <w:spacing w:afterLines="0" w:line="600" w:lineRule="exact"/>
        <w:ind w:firstLine="640" w:firstLineChars="200"/>
        <w:rPr>
          <w:rFonts w:ascii="Times New Roman" w:hAnsi="Times New Roman" w:eastAsia="仿宋_GB2312" w:cs="Times New Roman"/>
          <w:color w:val="000000" w:themeColor="text1"/>
          <w:sz w:val="32"/>
          <w:szCs w:val="32"/>
          <w14:textFill>
            <w14:solidFill>
              <w14:schemeClr w14:val="tx1"/>
            </w14:solidFill>
          </w14:textFill>
        </w:rPr>
      </w:pPr>
    </w:p>
    <w:p>
      <w:pPr>
        <w:numPr>
          <w:ilvl w:val="255"/>
          <w:numId w:val="0"/>
        </w:numPr>
        <w:spacing w:afterLines="0" w:line="600" w:lineRule="exact"/>
        <w:ind w:firstLine="640" w:firstLineChars="200"/>
        <w:jc w:val="right"/>
        <w:rPr>
          <w:rFonts w:ascii="Times New Roman" w:hAnsi="Times New Roman" w:eastAsia="仿宋_GB2312" w:cs="Times New Roman"/>
          <w:color w:val="000000" w:themeColor="text1"/>
          <w:sz w:val="32"/>
          <w:szCs w:val="32"/>
          <w14:textFill>
            <w14:solidFill>
              <w14:schemeClr w14:val="tx1"/>
            </w14:solidFill>
          </w14:textFill>
        </w:rPr>
      </w:pPr>
    </w:p>
    <w:p>
      <w:pPr>
        <w:numPr>
          <w:ilvl w:val="255"/>
          <w:numId w:val="0"/>
        </w:numPr>
        <w:spacing w:afterLines="0" w:line="600" w:lineRule="exact"/>
        <w:ind w:firstLine="640" w:firstLineChars="200"/>
        <w:jc w:val="center"/>
        <w:rPr>
          <w:rFonts w:hint="eastAsia"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教育部</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办公厅</w:t>
      </w:r>
    </w:p>
    <w:p>
      <w:pPr>
        <w:numPr>
          <w:ilvl w:val="255"/>
          <w:numId w:val="0"/>
        </w:numPr>
        <w:spacing w:afterLines="0" w:line="600" w:lineRule="exact"/>
        <w:ind w:firstLine="640" w:firstLineChars="200"/>
        <w:jc w:val="center"/>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202</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7</w:t>
      </w:r>
      <w:r>
        <w:rPr>
          <w:rFonts w:hint="default" w:ascii="Times New Roman" w:hAnsi="Times New Roman" w:eastAsia="仿宋_GB2312" w:cs="Times New Roman"/>
          <w:color w:val="000000" w:themeColor="text1"/>
          <w:sz w:val="32"/>
          <w:szCs w:val="32"/>
          <w14:textFill>
            <w14:solidFill>
              <w14:schemeClr w14:val="tx1"/>
            </w14:solidFill>
          </w14:textFill>
        </w:rPr>
        <w:t>日</w:t>
      </w:r>
    </w:p>
    <w:p>
      <w:pPr>
        <w:spacing w:line="560" w:lineRule="exact"/>
        <w:jc w:val="both"/>
        <w:rPr>
          <w:rFonts w:hint="default" w:ascii="Times New Roman" w:hAnsi="Times New Roman" w:eastAsia="黑体" w:cs="Times New Roman"/>
          <w:color w:val="auto"/>
          <w:kern w:val="0"/>
          <w:sz w:val="32"/>
          <w:szCs w:val="32"/>
          <w:lang w:val="en-US" w:eastAsia="zh-CN"/>
        </w:rPr>
      </w:pPr>
      <w:r>
        <w:rPr>
          <w:rFonts w:hint="default" w:ascii="Times New Roman" w:hAnsi="Times New Roman" w:eastAsia="黑体" w:cs="Times New Roman"/>
          <w:color w:val="auto"/>
          <w:kern w:val="0"/>
          <w:sz w:val="32"/>
          <w:szCs w:val="32"/>
          <w:lang w:val="en-US" w:eastAsia="zh-CN"/>
        </w:rPr>
        <w:t>附1</w:t>
      </w:r>
    </w:p>
    <w:p>
      <w:pPr>
        <w:spacing w:line="560" w:lineRule="exact"/>
        <w:jc w:val="both"/>
        <w:rPr>
          <w:rFonts w:hint="default" w:ascii="Times New Roman" w:hAnsi="Times New Roman" w:eastAsia="黑体" w:cs="Times New Roman"/>
          <w:color w:val="auto"/>
          <w:kern w:val="0"/>
          <w:sz w:val="32"/>
          <w:szCs w:val="32"/>
          <w:lang w:val="en-US" w:eastAsia="zh-CN"/>
        </w:rPr>
      </w:pPr>
    </w:p>
    <w:p>
      <w:pPr>
        <w:spacing w:line="560" w:lineRule="exact"/>
        <w:jc w:val="center"/>
        <w:rPr>
          <w:rFonts w:hint="default" w:ascii="Times New Roman" w:hAnsi="Times New Roman" w:eastAsia="方正小标宋简体" w:cs="Times New Roman"/>
          <w:color w:val="auto"/>
          <w:kern w:val="0"/>
          <w:sz w:val="44"/>
          <w:szCs w:val="44"/>
        </w:rPr>
      </w:pPr>
      <w:r>
        <w:rPr>
          <w:rFonts w:hint="default" w:ascii="Times New Roman" w:hAnsi="Times New Roman" w:eastAsia="方正小标宋简体" w:cs="Times New Roman"/>
          <w:color w:val="auto"/>
          <w:kern w:val="0"/>
          <w:sz w:val="44"/>
          <w:szCs w:val="44"/>
        </w:rPr>
        <w:t>高等学历继续教育补充目录</w:t>
      </w:r>
    </w:p>
    <w:p>
      <w:pPr>
        <w:spacing w:line="560" w:lineRule="exact"/>
        <w:jc w:val="center"/>
        <w:rPr>
          <w:rFonts w:hint="default" w:ascii="Times New Roman" w:hAnsi="Times New Roman" w:eastAsia="方正小标宋简体" w:cs="Times New Roman"/>
          <w:color w:val="auto"/>
          <w:kern w:val="0"/>
          <w:sz w:val="44"/>
          <w:szCs w:val="44"/>
          <w:lang w:val="en-US" w:eastAsia="zh-CN"/>
        </w:rPr>
      </w:pPr>
      <w:r>
        <w:rPr>
          <w:rFonts w:hint="default" w:ascii="Times New Roman" w:hAnsi="Times New Roman" w:eastAsia="方正小标宋简体" w:cs="Times New Roman"/>
          <w:color w:val="auto"/>
          <w:kern w:val="0"/>
          <w:sz w:val="44"/>
          <w:szCs w:val="44"/>
          <w:lang w:val="en-US" w:eastAsia="zh-CN"/>
        </w:rPr>
        <w:t>新旧</w:t>
      </w:r>
      <w:r>
        <w:rPr>
          <w:rFonts w:hint="default" w:ascii="Times New Roman" w:hAnsi="Times New Roman" w:eastAsia="方正小标宋简体" w:cs="Times New Roman"/>
          <w:color w:val="auto"/>
          <w:kern w:val="0"/>
          <w:sz w:val="44"/>
          <w:szCs w:val="44"/>
        </w:rPr>
        <w:t>专业</w:t>
      </w:r>
      <w:r>
        <w:rPr>
          <w:rFonts w:hint="default" w:ascii="Times New Roman" w:hAnsi="Times New Roman" w:eastAsia="方正小标宋简体" w:cs="Times New Roman"/>
          <w:color w:val="auto"/>
          <w:kern w:val="0"/>
          <w:sz w:val="44"/>
          <w:szCs w:val="44"/>
          <w:lang w:val="en-US" w:eastAsia="zh-CN"/>
        </w:rPr>
        <w:t>对照表</w:t>
      </w:r>
    </w:p>
    <w:p>
      <w:pPr>
        <w:jc w:val="center"/>
        <w:rPr>
          <w:rFonts w:hint="default" w:ascii="Times New Roman" w:hAnsi="Times New Roman" w:cs="Times New Roman"/>
          <w:color w:val="auto"/>
        </w:rPr>
      </w:pPr>
      <w:r>
        <w:rPr>
          <w:rFonts w:hint="default" w:ascii="Times New Roman" w:hAnsi="Times New Roman" w:eastAsia="楷体_GB2312" w:cs="Times New Roman"/>
          <w:b/>
          <w:color w:val="auto"/>
          <w:kern w:val="0"/>
          <w:sz w:val="32"/>
          <w:szCs w:val="32"/>
        </w:rPr>
        <w:t>本科</w:t>
      </w:r>
    </w:p>
    <w:tbl>
      <w:tblPr>
        <w:tblStyle w:val="8"/>
        <w:tblW w:w="84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981"/>
        <w:gridCol w:w="1189"/>
        <w:gridCol w:w="1719"/>
        <w:gridCol w:w="1237"/>
        <w:gridCol w:w="1715"/>
        <w:gridCol w:w="9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tcMar>
              <w:top w:w="0" w:type="dxa"/>
              <w:left w:w="57" w:type="dxa"/>
              <w:bottom w:w="0" w:type="dxa"/>
              <w:right w:w="57" w:type="dxa"/>
            </w:tcMar>
            <w:vAlign w:val="center"/>
          </w:tcPr>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序号</w:t>
            </w:r>
          </w:p>
        </w:tc>
        <w:tc>
          <w:tcPr>
            <w:tcW w:w="981" w:type="dxa"/>
            <w:vAlign w:val="center"/>
          </w:tcPr>
          <w:p>
            <w:pPr>
              <w:widowControl/>
              <w:jc w:val="center"/>
              <w:textAlignment w:val="center"/>
              <w:rPr>
                <w:rFonts w:hint="default" w:ascii="Times New Roman" w:hAnsi="Times New Roman" w:eastAsia="黑体" w:cs="Times New Roman"/>
                <w:b/>
                <w:bCs/>
                <w:color w:val="auto"/>
                <w:kern w:val="0"/>
                <w:sz w:val="24"/>
                <w:szCs w:val="24"/>
                <w:lang w:val="en-US" w:eastAsia="zh-CN" w:bidi="ar"/>
              </w:rPr>
            </w:pPr>
            <w:r>
              <w:rPr>
                <w:rFonts w:hint="default" w:ascii="Times New Roman" w:hAnsi="Times New Roman" w:eastAsia="黑体" w:cs="Times New Roman"/>
                <w:b/>
                <w:bCs/>
                <w:color w:val="auto"/>
                <w:kern w:val="0"/>
                <w:sz w:val="24"/>
                <w:szCs w:val="24"/>
                <w:lang w:val="en-US" w:eastAsia="zh-CN" w:bidi="ar"/>
              </w:rPr>
              <w:t>学科</w:t>
            </w:r>
          </w:p>
          <w:p>
            <w:pPr>
              <w:widowControl/>
              <w:jc w:val="center"/>
              <w:textAlignment w:val="center"/>
              <w:rPr>
                <w:rFonts w:hint="default" w:ascii="Times New Roman" w:hAnsi="Times New Roman" w:eastAsia="黑体" w:cs="Times New Roman"/>
                <w:b/>
                <w:bCs/>
                <w:color w:val="auto"/>
                <w:kern w:val="0"/>
                <w:sz w:val="24"/>
                <w:szCs w:val="24"/>
                <w:lang w:val="en-US" w:eastAsia="zh-CN" w:bidi="ar"/>
              </w:rPr>
            </w:pPr>
            <w:r>
              <w:rPr>
                <w:rFonts w:hint="default" w:ascii="Times New Roman" w:hAnsi="Times New Roman" w:eastAsia="黑体" w:cs="Times New Roman"/>
                <w:b/>
                <w:bCs/>
                <w:color w:val="auto"/>
                <w:kern w:val="0"/>
                <w:sz w:val="24"/>
                <w:szCs w:val="24"/>
                <w:lang w:val="en-US" w:eastAsia="zh-CN" w:bidi="ar"/>
              </w:rPr>
              <w:t>门类</w:t>
            </w:r>
          </w:p>
        </w:tc>
        <w:tc>
          <w:tcPr>
            <w:tcW w:w="1189" w:type="dxa"/>
            <w:vAlign w:val="center"/>
          </w:tcPr>
          <w:p>
            <w:pPr>
              <w:widowControl/>
              <w:jc w:val="center"/>
              <w:textAlignment w:val="center"/>
              <w:rPr>
                <w:rFonts w:hint="default" w:ascii="Times New Roman" w:hAnsi="Times New Roman" w:eastAsia="黑体" w:cs="Times New Roman"/>
                <w:b/>
                <w:bCs/>
                <w:color w:val="auto"/>
                <w:kern w:val="0"/>
                <w:sz w:val="24"/>
                <w:szCs w:val="24"/>
                <w:lang w:bidi="ar"/>
              </w:rPr>
            </w:pPr>
            <w:r>
              <w:rPr>
                <w:rFonts w:hint="default" w:ascii="Times New Roman" w:hAnsi="Times New Roman" w:eastAsia="黑体" w:cs="Times New Roman"/>
                <w:b/>
                <w:bCs/>
                <w:color w:val="auto"/>
                <w:kern w:val="0"/>
                <w:sz w:val="24"/>
                <w:szCs w:val="24"/>
                <w:lang w:bidi="ar"/>
              </w:rPr>
              <w:t>专业</w:t>
            </w:r>
          </w:p>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代码</w:t>
            </w:r>
          </w:p>
        </w:tc>
        <w:tc>
          <w:tcPr>
            <w:tcW w:w="1719" w:type="dxa"/>
            <w:vAlign w:val="center"/>
          </w:tcPr>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专业名称</w:t>
            </w:r>
          </w:p>
        </w:tc>
        <w:tc>
          <w:tcPr>
            <w:tcW w:w="1237" w:type="dxa"/>
            <w:vAlign w:val="center"/>
          </w:tcPr>
          <w:p>
            <w:pPr>
              <w:widowControl/>
              <w:jc w:val="center"/>
              <w:textAlignment w:val="center"/>
              <w:rPr>
                <w:rFonts w:hint="default" w:ascii="Times New Roman" w:hAnsi="Times New Roman" w:eastAsia="黑体" w:cs="Times New Roman"/>
                <w:b/>
                <w:bCs/>
                <w:color w:val="auto"/>
                <w:kern w:val="0"/>
                <w:sz w:val="24"/>
                <w:szCs w:val="24"/>
                <w:lang w:bidi="ar"/>
              </w:rPr>
            </w:pPr>
            <w:r>
              <w:rPr>
                <w:rFonts w:hint="default" w:ascii="Times New Roman" w:hAnsi="Times New Roman" w:eastAsia="黑体" w:cs="Times New Roman"/>
                <w:b/>
                <w:bCs/>
                <w:color w:val="auto"/>
                <w:kern w:val="0"/>
                <w:sz w:val="24"/>
                <w:szCs w:val="24"/>
                <w:lang w:bidi="ar"/>
              </w:rPr>
              <w:t>原专业</w:t>
            </w:r>
          </w:p>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代码</w:t>
            </w:r>
          </w:p>
        </w:tc>
        <w:tc>
          <w:tcPr>
            <w:tcW w:w="1715" w:type="dxa"/>
            <w:vAlign w:val="center"/>
          </w:tcPr>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原专业名称</w:t>
            </w:r>
          </w:p>
        </w:tc>
        <w:tc>
          <w:tcPr>
            <w:tcW w:w="942" w:type="dxa"/>
            <w:vAlign w:val="center"/>
          </w:tcPr>
          <w:p>
            <w:pPr>
              <w:widowControl/>
              <w:jc w:val="center"/>
              <w:textAlignment w:val="center"/>
              <w:rPr>
                <w:rFonts w:hint="default" w:ascii="Times New Roman" w:hAnsi="Times New Roman" w:eastAsia="黑体" w:cs="Times New Roman"/>
                <w:b/>
                <w:bCs/>
                <w:color w:val="auto"/>
                <w:kern w:val="2"/>
                <w:sz w:val="24"/>
                <w:szCs w:val="24"/>
                <w:lang w:val="en-US" w:eastAsia="zh-CN" w:bidi="ar-SA"/>
              </w:rPr>
            </w:pPr>
            <w:r>
              <w:rPr>
                <w:rFonts w:hint="default" w:ascii="Times New Roman" w:hAnsi="Times New Roman" w:eastAsia="黑体" w:cs="Times New Roman"/>
                <w:b/>
                <w:bCs/>
                <w:color w:val="auto"/>
                <w:kern w:val="0"/>
                <w:sz w:val="24"/>
                <w:szCs w:val="24"/>
                <w:lang w:bidi="ar"/>
              </w:rPr>
              <w:t>调整</w:t>
            </w:r>
            <w:r>
              <w:rPr>
                <w:rStyle w:val="16"/>
                <w:rFonts w:hint="default" w:ascii="Times New Roman" w:hAnsi="Times New Roman" w:eastAsia="黑体" w:cs="Times New Roman"/>
                <w:bCs/>
                <w:color w:val="auto"/>
                <w:sz w:val="24"/>
                <w:szCs w:val="24"/>
                <w:lang w:bidi="ar"/>
              </w:rPr>
              <w:br w:type="textWrapping"/>
            </w:r>
            <w:r>
              <w:rPr>
                <w:rStyle w:val="17"/>
                <w:rFonts w:hint="default" w:ascii="Times New Roman" w:hAnsi="Times New Roman" w:eastAsia="黑体" w:cs="Times New Roman"/>
                <w:bCs/>
                <w:color w:val="auto"/>
                <w:sz w:val="24"/>
                <w:szCs w:val="24"/>
                <w:lang w:bidi="ar"/>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w:t>
            </w:r>
          </w:p>
        </w:tc>
        <w:tc>
          <w:tcPr>
            <w:tcW w:w="981"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经济学</w:t>
            </w:r>
          </w:p>
        </w:tc>
        <w:tc>
          <w:tcPr>
            <w:tcW w:w="1189" w:type="dxa"/>
            <w:vAlign w:val="center"/>
          </w:tcPr>
          <w:p>
            <w:pPr>
              <w:widowControl/>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020101</w:t>
            </w:r>
          </w:p>
        </w:tc>
        <w:tc>
          <w:tcPr>
            <w:tcW w:w="171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经济学</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320101</w:t>
            </w:r>
          </w:p>
        </w:tc>
        <w:tc>
          <w:tcPr>
            <w:tcW w:w="1715" w:type="dxa"/>
            <w:vAlign w:val="center"/>
          </w:tcPr>
          <w:p>
            <w:pPr>
              <w:widowControl/>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区域经济开发</w:t>
            </w:r>
          </w:p>
          <w:p>
            <w:pPr>
              <w:widowControl/>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与管理</w:t>
            </w:r>
          </w:p>
        </w:tc>
        <w:tc>
          <w:tcPr>
            <w:tcW w:w="942"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2</w:t>
            </w:r>
          </w:p>
        </w:tc>
        <w:tc>
          <w:tcPr>
            <w:tcW w:w="981"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法  学</w:t>
            </w:r>
          </w:p>
        </w:tc>
        <w:tc>
          <w:tcPr>
            <w:tcW w:w="1189"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030103T</w:t>
            </w:r>
          </w:p>
        </w:tc>
        <w:tc>
          <w:tcPr>
            <w:tcW w:w="171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监狱学</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330101K</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监所管理</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3</w:t>
            </w:r>
          </w:p>
        </w:tc>
        <w:tc>
          <w:tcPr>
            <w:tcW w:w="981" w:type="dxa"/>
            <w:vMerge w:val="restart"/>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教育学</w:t>
            </w: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040101</w:t>
            </w:r>
          </w:p>
        </w:tc>
        <w:tc>
          <w:tcPr>
            <w:tcW w:w="171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教育学</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340101</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教育管理</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4</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040111T</w:t>
            </w:r>
          </w:p>
        </w:tc>
        <w:tc>
          <w:tcPr>
            <w:tcW w:w="171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卫生教育</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340102</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心理健康教育</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5</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040109T</w:t>
            </w:r>
          </w:p>
        </w:tc>
        <w:tc>
          <w:tcPr>
            <w:tcW w:w="1719" w:type="dxa"/>
            <w:vAlign w:val="center"/>
          </w:tcPr>
          <w:p>
            <w:pPr>
              <w:jc w:val="center"/>
              <w:rPr>
                <w:rFonts w:hint="default" w:ascii="Times New Roman" w:hAnsi="Times New Roman" w:eastAsia="仿宋_GB2312" w:cs="Times New Roman"/>
                <w:color w:val="auto"/>
                <w:sz w:val="24"/>
                <w:szCs w:val="24"/>
                <w:vertAlign w:val="baseline"/>
              </w:rPr>
            </w:pPr>
            <w:r>
              <w:rPr>
                <w:rFonts w:hint="eastAsia" w:ascii="Times New Roman" w:hAnsi="Times New Roman" w:eastAsia="仿宋_GB2312" w:cs="Times New Roman"/>
                <w:color w:val="auto"/>
                <w:sz w:val="24"/>
                <w:szCs w:val="24"/>
                <w:vertAlign w:val="baseline"/>
                <w:lang w:val="en-US" w:eastAsia="zh-CN"/>
              </w:rPr>
              <w:t xml:space="preserve"> </w:t>
            </w:r>
            <w:r>
              <w:rPr>
                <w:rFonts w:hint="default" w:ascii="Times New Roman" w:hAnsi="Times New Roman" w:eastAsia="仿宋_GB2312" w:cs="Times New Roman"/>
                <w:color w:val="auto"/>
                <w:sz w:val="24"/>
                <w:szCs w:val="24"/>
                <w:vertAlign w:val="baseline"/>
              </w:rPr>
              <w:t>华文教育</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340103</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双语教育</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6</w:t>
            </w:r>
          </w:p>
        </w:tc>
        <w:tc>
          <w:tcPr>
            <w:tcW w:w="981" w:type="dxa"/>
            <w:vMerge w:val="restart"/>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文  学</w:t>
            </w:r>
          </w:p>
        </w:tc>
        <w:tc>
          <w:tcPr>
            <w:tcW w:w="1189" w:type="dxa"/>
            <w:vMerge w:val="restart"/>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050104</w:t>
            </w:r>
          </w:p>
        </w:tc>
        <w:tc>
          <w:tcPr>
            <w:tcW w:w="1719" w:type="dxa"/>
            <w:vMerge w:val="restart"/>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中国少数民族语言文学</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350101</w:t>
            </w:r>
          </w:p>
        </w:tc>
        <w:tc>
          <w:tcPr>
            <w:tcW w:w="1715"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维吾尔语言</w:t>
            </w:r>
          </w:p>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文学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7</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719"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237"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350102</w:t>
            </w:r>
          </w:p>
        </w:tc>
        <w:tc>
          <w:tcPr>
            <w:tcW w:w="1715"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哈萨克语言</w:t>
            </w:r>
          </w:p>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文学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8</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Merge w:val="continue"/>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p>
        </w:tc>
        <w:tc>
          <w:tcPr>
            <w:tcW w:w="1719"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350103</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蒙古语言文学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9</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Merge w:val="continue"/>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p>
        </w:tc>
        <w:tc>
          <w:tcPr>
            <w:tcW w:w="1719"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350104</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朝鲜语言文学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10</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Merge w:val="continue"/>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p>
        </w:tc>
        <w:tc>
          <w:tcPr>
            <w:tcW w:w="1719"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350105</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藏语言文学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11</w:t>
            </w:r>
          </w:p>
        </w:tc>
        <w:tc>
          <w:tcPr>
            <w:tcW w:w="981"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医  学</w:t>
            </w: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101101</w:t>
            </w:r>
          </w:p>
        </w:tc>
        <w:tc>
          <w:tcPr>
            <w:tcW w:w="1719"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护理学</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401101</w:t>
            </w:r>
          </w:p>
        </w:tc>
        <w:tc>
          <w:tcPr>
            <w:tcW w:w="1715"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社区护理学</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12</w:t>
            </w:r>
          </w:p>
        </w:tc>
        <w:tc>
          <w:tcPr>
            <w:tcW w:w="981" w:type="dxa"/>
            <w:vMerge w:val="restart"/>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管理学</w:t>
            </w: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120202</w:t>
            </w:r>
          </w:p>
        </w:tc>
        <w:tc>
          <w:tcPr>
            <w:tcW w:w="1719" w:type="dxa"/>
            <w:vAlign w:val="center"/>
          </w:tcPr>
          <w:p>
            <w:pPr>
              <w:widowControl/>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市场营销</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420201</w:t>
            </w:r>
          </w:p>
        </w:tc>
        <w:tc>
          <w:tcPr>
            <w:tcW w:w="1715" w:type="dxa"/>
            <w:vAlign w:val="center"/>
          </w:tcPr>
          <w:p>
            <w:pPr>
              <w:widowControl/>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网络营销与</w:t>
            </w:r>
          </w:p>
          <w:p>
            <w:pPr>
              <w:widowControl/>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管理</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85" w:type="dxa"/>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13</w:t>
            </w:r>
          </w:p>
        </w:tc>
        <w:tc>
          <w:tcPr>
            <w:tcW w:w="981" w:type="dxa"/>
            <w:vMerge w:val="continue"/>
            <w:vAlign w:val="center"/>
          </w:tcPr>
          <w:p>
            <w:pPr>
              <w:jc w:val="center"/>
              <w:rPr>
                <w:rFonts w:hint="default" w:ascii="Times New Roman" w:hAnsi="Times New Roman" w:eastAsia="仿宋_GB2312" w:cs="Times New Roman"/>
                <w:color w:val="auto"/>
                <w:kern w:val="0"/>
                <w:sz w:val="24"/>
                <w:szCs w:val="24"/>
                <w:lang w:val="en-US" w:eastAsia="zh-CN" w:bidi="ar-SA"/>
              </w:rPr>
            </w:pPr>
          </w:p>
        </w:tc>
        <w:tc>
          <w:tcPr>
            <w:tcW w:w="1189"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lang w:val="en-US" w:eastAsia="zh-CN" w:bidi="ar-SA"/>
              </w:rPr>
              <w:t>120405</w:t>
            </w:r>
          </w:p>
        </w:tc>
        <w:tc>
          <w:tcPr>
            <w:tcW w:w="1719"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城市管理</w:t>
            </w:r>
          </w:p>
        </w:tc>
        <w:tc>
          <w:tcPr>
            <w:tcW w:w="1237" w:type="dxa"/>
            <w:vAlign w:val="center"/>
          </w:tcPr>
          <w:p>
            <w:pPr>
              <w:widowControl/>
              <w:ind w:firstLine="92" w:firstLineChars="0"/>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420401</w:t>
            </w:r>
          </w:p>
        </w:tc>
        <w:tc>
          <w:tcPr>
            <w:tcW w:w="1715"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城市公共安全</w:t>
            </w:r>
          </w:p>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rPr>
              <w:t>管理</w:t>
            </w:r>
          </w:p>
        </w:tc>
        <w:tc>
          <w:tcPr>
            <w:tcW w:w="942"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bl>
    <w:p>
      <w:pPr>
        <w:rPr>
          <w:rFonts w:hint="default" w:ascii="Times New Roman" w:hAnsi="Times New Roman" w:cs="Times New Roman"/>
          <w:color w:val="auto"/>
        </w:rPr>
      </w:pPr>
    </w:p>
    <w:p>
      <w:pPr>
        <w:jc w:val="center"/>
        <w:rPr>
          <w:rFonts w:hint="default" w:ascii="Times New Roman" w:hAnsi="Times New Roman" w:eastAsia="楷体_GB2312" w:cs="Times New Roman"/>
          <w:b/>
          <w:color w:val="auto"/>
          <w:kern w:val="0"/>
          <w:sz w:val="32"/>
          <w:szCs w:val="32"/>
          <w:lang w:val="en-US" w:eastAsia="zh-CN"/>
        </w:rPr>
      </w:pPr>
      <w:r>
        <w:rPr>
          <w:rFonts w:hint="default" w:ascii="Times New Roman" w:hAnsi="Times New Roman" w:eastAsia="楷体_GB2312" w:cs="Times New Roman"/>
          <w:b/>
          <w:color w:val="auto"/>
          <w:kern w:val="0"/>
          <w:sz w:val="32"/>
          <w:szCs w:val="32"/>
          <w:lang w:val="en-US" w:eastAsia="zh-CN"/>
        </w:rPr>
        <w:t>专科</w:t>
      </w:r>
    </w:p>
    <w:tbl>
      <w:tblPr>
        <w:tblStyle w:val="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6"/>
        <w:gridCol w:w="1483"/>
        <w:gridCol w:w="1177"/>
        <w:gridCol w:w="1708"/>
        <w:gridCol w:w="1189"/>
        <w:gridCol w:w="1453"/>
        <w:gridCol w:w="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blHeader/>
          <w:jc w:val="center"/>
        </w:trPr>
        <w:tc>
          <w:tcPr>
            <w:tcW w:w="706" w:type="dxa"/>
            <w:vAlign w:val="center"/>
          </w:tcPr>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序号</w:t>
            </w:r>
          </w:p>
        </w:tc>
        <w:tc>
          <w:tcPr>
            <w:tcW w:w="1483" w:type="dxa"/>
            <w:vAlign w:val="center"/>
          </w:tcPr>
          <w:p>
            <w:pPr>
              <w:widowControl/>
              <w:jc w:val="center"/>
              <w:textAlignment w:val="center"/>
              <w:rPr>
                <w:rFonts w:hint="default" w:ascii="Times New Roman" w:hAnsi="Times New Roman" w:eastAsia="黑体" w:cs="Times New Roman"/>
                <w:b/>
                <w:bCs/>
                <w:color w:val="auto"/>
                <w:kern w:val="0"/>
                <w:sz w:val="24"/>
                <w:szCs w:val="22"/>
                <w:lang w:val="en-US" w:eastAsia="zh-CN" w:bidi="ar"/>
              </w:rPr>
            </w:pPr>
            <w:r>
              <w:rPr>
                <w:rFonts w:hint="default" w:ascii="Times New Roman" w:hAnsi="Times New Roman" w:eastAsia="黑体" w:cs="Times New Roman"/>
                <w:b/>
                <w:bCs/>
                <w:color w:val="auto"/>
                <w:kern w:val="0"/>
                <w:sz w:val="24"/>
                <w:lang w:bidi="ar"/>
              </w:rPr>
              <w:t>专业大类</w:t>
            </w:r>
          </w:p>
        </w:tc>
        <w:tc>
          <w:tcPr>
            <w:tcW w:w="1177" w:type="dxa"/>
            <w:vAlign w:val="center"/>
          </w:tcPr>
          <w:p>
            <w:pPr>
              <w:widowControl/>
              <w:jc w:val="center"/>
              <w:textAlignment w:val="center"/>
              <w:rPr>
                <w:rFonts w:hint="default" w:ascii="Times New Roman" w:hAnsi="Times New Roman" w:eastAsia="黑体" w:cs="Times New Roman"/>
                <w:b/>
                <w:bCs/>
                <w:color w:val="auto"/>
                <w:kern w:val="0"/>
                <w:sz w:val="24"/>
                <w:lang w:bidi="ar"/>
              </w:rPr>
            </w:pPr>
            <w:r>
              <w:rPr>
                <w:rFonts w:hint="default" w:ascii="Times New Roman" w:hAnsi="Times New Roman" w:eastAsia="黑体" w:cs="Times New Roman"/>
                <w:b/>
                <w:bCs/>
                <w:color w:val="auto"/>
                <w:kern w:val="0"/>
                <w:sz w:val="24"/>
                <w:lang w:bidi="ar"/>
              </w:rPr>
              <w:t>专业</w:t>
            </w:r>
          </w:p>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代码</w:t>
            </w:r>
          </w:p>
        </w:tc>
        <w:tc>
          <w:tcPr>
            <w:tcW w:w="1708" w:type="dxa"/>
            <w:vAlign w:val="center"/>
          </w:tcPr>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专业名称</w:t>
            </w:r>
          </w:p>
        </w:tc>
        <w:tc>
          <w:tcPr>
            <w:tcW w:w="1189" w:type="dxa"/>
            <w:vAlign w:val="center"/>
          </w:tcPr>
          <w:p>
            <w:pPr>
              <w:widowControl/>
              <w:jc w:val="center"/>
              <w:textAlignment w:val="center"/>
              <w:rPr>
                <w:rFonts w:hint="default" w:ascii="Times New Roman" w:hAnsi="Times New Roman" w:eastAsia="黑体" w:cs="Times New Roman"/>
                <w:b/>
                <w:bCs/>
                <w:color w:val="auto"/>
                <w:kern w:val="0"/>
                <w:sz w:val="24"/>
                <w:lang w:bidi="ar"/>
              </w:rPr>
            </w:pPr>
            <w:r>
              <w:rPr>
                <w:rFonts w:hint="default" w:ascii="Times New Roman" w:hAnsi="Times New Roman" w:eastAsia="黑体" w:cs="Times New Roman"/>
                <w:b/>
                <w:bCs/>
                <w:color w:val="auto"/>
                <w:kern w:val="0"/>
                <w:sz w:val="24"/>
                <w:lang w:bidi="ar"/>
              </w:rPr>
              <w:t>原专业</w:t>
            </w:r>
          </w:p>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代码</w:t>
            </w:r>
          </w:p>
        </w:tc>
        <w:tc>
          <w:tcPr>
            <w:tcW w:w="1453" w:type="dxa"/>
            <w:vAlign w:val="center"/>
          </w:tcPr>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原专业名称</w:t>
            </w:r>
          </w:p>
        </w:tc>
        <w:tc>
          <w:tcPr>
            <w:tcW w:w="806" w:type="dxa"/>
            <w:vAlign w:val="center"/>
          </w:tcPr>
          <w:p>
            <w:pPr>
              <w:widowControl/>
              <w:jc w:val="center"/>
              <w:textAlignment w:val="center"/>
              <w:rPr>
                <w:rFonts w:hint="default" w:ascii="Times New Roman" w:hAnsi="Times New Roman" w:eastAsia="黑体" w:cs="Times New Roman"/>
                <w:b/>
                <w:bCs/>
                <w:color w:val="auto"/>
                <w:kern w:val="2"/>
                <w:sz w:val="24"/>
                <w:szCs w:val="22"/>
                <w:lang w:val="en-US" w:eastAsia="zh-CN" w:bidi="ar-SA"/>
              </w:rPr>
            </w:pPr>
            <w:r>
              <w:rPr>
                <w:rFonts w:hint="default" w:ascii="Times New Roman" w:hAnsi="Times New Roman" w:eastAsia="黑体" w:cs="Times New Roman"/>
                <w:b/>
                <w:bCs/>
                <w:color w:val="auto"/>
                <w:kern w:val="0"/>
                <w:sz w:val="24"/>
                <w:lang w:bidi="ar"/>
              </w:rPr>
              <w:t>调整</w:t>
            </w:r>
            <w:r>
              <w:rPr>
                <w:rStyle w:val="16"/>
                <w:rFonts w:hint="default" w:ascii="Times New Roman" w:hAnsi="Times New Roman" w:eastAsia="黑体" w:cs="Times New Roman"/>
                <w:bCs/>
                <w:color w:val="auto"/>
                <w:lang w:bidi="ar"/>
              </w:rPr>
              <w:br w:type="textWrapping"/>
            </w:r>
            <w:r>
              <w:rPr>
                <w:rStyle w:val="17"/>
                <w:rFonts w:hint="default" w:ascii="Times New Roman" w:hAnsi="Times New Roman" w:eastAsia="黑体" w:cs="Times New Roman"/>
                <w:bCs/>
                <w:color w:val="auto"/>
                <w:lang w:bidi="ar"/>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rPr>
              <w:t>1</w:t>
            </w:r>
          </w:p>
        </w:tc>
        <w:tc>
          <w:tcPr>
            <w:tcW w:w="1483"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农林牧渔</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410118</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休闲农业经营与管理</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810101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家庭农场经营管理</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rPr>
              <w:t>2</w:t>
            </w:r>
          </w:p>
        </w:tc>
        <w:tc>
          <w:tcPr>
            <w:tcW w:w="1483"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资源环境</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与安全大类</w:t>
            </w:r>
          </w:p>
        </w:tc>
        <w:tc>
          <w:tcPr>
            <w:tcW w:w="1177"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420503</w:t>
            </w:r>
          </w:p>
        </w:tc>
        <w:tc>
          <w:tcPr>
            <w:tcW w:w="1708"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通风技术与安全管理</w:t>
            </w:r>
          </w:p>
        </w:tc>
        <w:tc>
          <w:tcPr>
            <w:tcW w:w="1189"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820502</w:t>
            </w:r>
          </w:p>
        </w:tc>
        <w:tc>
          <w:tcPr>
            <w:tcW w:w="1453"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煤矿安全技术与管理</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3</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420601</w:t>
            </w:r>
          </w:p>
        </w:tc>
        <w:tc>
          <w:tcPr>
            <w:tcW w:w="1708"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矿山智能开采技术</w:t>
            </w:r>
          </w:p>
        </w:tc>
        <w:tc>
          <w:tcPr>
            <w:tcW w:w="1189"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820501</w:t>
            </w:r>
          </w:p>
        </w:tc>
        <w:tc>
          <w:tcPr>
            <w:tcW w:w="1453"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采矿工程</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kern w:val="0"/>
                <w:sz w:val="24"/>
                <w:szCs w:val="24"/>
                <w:lang w:bidi="ar"/>
              </w:rPr>
              <w:t>4</w:t>
            </w:r>
          </w:p>
        </w:tc>
        <w:tc>
          <w:tcPr>
            <w:tcW w:w="1483"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装备制造</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460301</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机电一体化</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技术</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860101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机械电子工程与管理</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Merge w:val="restart"/>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lang w:bidi="ar"/>
              </w:rPr>
              <w:t>5</w:t>
            </w:r>
          </w:p>
        </w:tc>
        <w:tc>
          <w:tcPr>
            <w:tcW w:w="1483" w:type="dxa"/>
            <w:vMerge w:val="restart"/>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生物与化工大类</w:t>
            </w:r>
          </w:p>
        </w:tc>
        <w:tc>
          <w:tcPr>
            <w:tcW w:w="1177"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470101</w:t>
            </w:r>
          </w:p>
        </w:tc>
        <w:tc>
          <w:tcPr>
            <w:tcW w:w="1708"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食品生物技术</w:t>
            </w:r>
          </w:p>
        </w:tc>
        <w:tc>
          <w:tcPr>
            <w:tcW w:w="1189" w:type="dxa"/>
            <w:vMerge w:val="restart"/>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870101</w:t>
            </w:r>
          </w:p>
        </w:tc>
        <w:tc>
          <w:tcPr>
            <w:tcW w:w="1453" w:type="dxa"/>
            <w:vMerge w:val="restart"/>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生物技术</w:t>
            </w:r>
          </w:p>
        </w:tc>
        <w:tc>
          <w:tcPr>
            <w:tcW w:w="806" w:type="dxa"/>
            <w:vMerge w:val="restart"/>
            <w:vAlign w:val="center"/>
          </w:tcPr>
          <w:p>
            <w:pPr>
              <w:jc w:val="center"/>
              <w:rPr>
                <w:rFonts w:hint="default" w:ascii="Times New Roman" w:hAnsi="Times New Roman" w:eastAsia="仿宋_GB2312" w:cs="Times New Roman"/>
                <w:color w:val="auto"/>
                <w:sz w:val="24"/>
                <w:szCs w:val="24"/>
                <w:vertAlign w:val="baseline"/>
                <w:lang w:val="en-US" w:eastAsia="zh-CN"/>
              </w:rPr>
            </w:pPr>
            <w:r>
              <w:rPr>
                <w:rFonts w:hint="default" w:ascii="Times New Roman" w:hAnsi="Times New Roman" w:eastAsia="仿宋_GB2312" w:cs="Times New Roman"/>
                <w:color w:val="auto"/>
                <w:sz w:val="24"/>
                <w:szCs w:val="24"/>
                <w:vertAlign w:val="baseline"/>
                <w:lang w:val="en-US" w:eastAsia="zh-CN"/>
              </w:rPr>
              <w:t>按专业方向并入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Merge w:val="continue"/>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p>
        </w:tc>
        <w:tc>
          <w:tcPr>
            <w:tcW w:w="1483" w:type="dxa"/>
            <w:vMerge w:val="continue"/>
            <w:vAlign w:val="center"/>
          </w:tcPr>
          <w:p>
            <w:pPr>
              <w:jc w:val="center"/>
              <w:rPr>
                <w:rFonts w:hint="default" w:ascii="Times New Roman" w:hAnsi="Times New Roman" w:eastAsia="仿宋_GB2312" w:cs="Times New Roman"/>
                <w:color w:val="auto"/>
                <w:sz w:val="24"/>
                <w:szCs w:val="24"/>
              </w:rPr>
            </w:pPr>
          </w:p>
        </w:tc>
        <w:tc>
          <w:tcPr>
            <w:tcW w:w="1177"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470102</w:t>
            </w:r>
          </w:p>
        </w:tc>
        <w:tc>
          <w:tcPr>
            <w:tcW w:w="1708"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药品生物技术</w:t>
            </w:r>
          </w:p>
        </w:tc>
        <w:tc>
          <w:tcPr>
            <w:tcW w:w="1189" w:type="dxa"/>
            <w:vMerge w:val="continue"/>
            <w:vAlign w:val="center"/>
          </w:tcPr>
          <w:p>
            <w:pPr>
              <w:jc w:val="center"/>
              <w:rPr>
                <w:rFonts w:hint="default" w:ascii="Times New Roman" w:hAnsi="Times New Roman" w:eastAsia="仿宋_GB2312" w:cs="Times New Roman"/>
                <w:color w:val="auto"/>
                <w:kern w:val="0"/>
                <w:sz w:val="24"/>
                <w:szCs w:val="24"/>
              </w:rPr>
            </w:pPr>
          </w:p>
        </w:tc>
        <w:tc>
          <w:tcPr>
            <w:tcW w:w="1453" w:type="dxa"/>
            <w:vMerge w:val="continue"/>
            <w:vAlign w:val="center"/>
          </w:tcPr>
          <w:p>
            <w:pPr>
              <w:jc w:val="center"/>
              <w:rPr>
                <w:rFonts w:hint="default" w:ascii="Times New Roman" w:hAnsi="Times New Roman" w:eastAsia="仿宋_GB2312" w:cs="Times New Roman"/>
                <w:color w:val="auto"/>
                <w:kern w:val="0"/>
                <w:sz w:val="24"/>
                <w:szCs w:val="24"/>
              </w:rPr>
            </w:pPr>
          </w:p>
        </w:tc>
        <w:tc>
          <w:tcPr>
            <w:tcW w:w="806" w:type="dxa"/>
            <w:vMerge w:val="continue"/>
            <w:vAlign w:val="center"/>
          </w:tcPr>
          <w:p>
            <w:pPr>
              <w:jc w:val="center"/>
              <w:rPr>
                <w:rFonts w:hint="default" w:ascii="Times New Roman" w:hAnsi="Times New Roman" w:eastAsia="仿宋_GB2312" w:cs="Times New Roman"/>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Merge w:val="continue"/>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p>
        </w:tc>
        <w:tc>
          <w:tcPr>
            <w:tcW w:w="1483" w:type="dxa"/>
            <w:vMerge w:val="continue"/>
            <w:vAlign w:val="center"/>
          </w:tcPr>
          <w:p>
            <w:pPr>
              <w:jc w:val="center"/>
              <w:rPr>
                <w:rFonts w:hint="default" w:ascii="Times New Roman" w:hAnsi="Times New Roman" w:eastAsia="仿宋_GB2312" w:cs="Times New Roman"/>
                <w:color w:val="auto"/>
                <w:sz w:val="24"/>
                <w:szCs w:val="24"/>
              </w:rPr>
            </w:pPr>
          </w:p>
        </w:tc>
        <w:tc>
          <w:tcPr>
            <w:tcW w:w="1177"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470103</w:t>
            </w:r>
          </w:p>
        </w:tc>
        <w:tc>
          <w:tcPr>
            <w:tcW w:w="1708"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农业生物技术</w:t>
            </w:r>
          </w:p>
        </w:tc>
        <w:tc>
          <w:tcPr>
            <w:tcW w:w="1189" w:type="dxa"/>
            <w:vMerge w:val="continue"/>
            <w:vAlign w:val="center"/>
          </w:tcPr>
          <w:p>
            <w:pPr>
              <w:jc w:val="center"/>
              <w:rPr>
                <w:rFonts w:hint="default" w:ascii="Times New Roman" w:hAnsi="Times New Roman" w:eastAsia="仿宋_GB2312" w:cs="Times New Roman"/>
                <w:color w:val="auto"/>
                <w:kern w:val="0"/>
                <w:sz w:val="24"/>
                <w:szCs w:val="24"/>
              </w:rPr>
            </w:pPr>
          </w:p>
        </w:tc>
        <w:tc>
          <w:tcPr>
            <w:tcW w:w="1453" w:type="dxa"/>
            <w:vMerge w:val="continue"/>
            <w:vAlign w:val="center"/>
          </w:tcPr>
          <w:p>
            <w:pPr>
              <w:jc w:val="center"/>
              <w:rPr>
                <w:rFonts w:hint="default" w:ascii="Times New Roman" w:hAnsi="Times New Roman" w:eastAsia="仿宋_GB2312" w:cs="Times New Roman"/>
                <w:color w:val="auto"/>
                <w:kern w:val="0"/>
                <w:sz w:val="24"/>
                <w:szCs w:val="24"/>
              </w:rPr>
            </w:pPr>
          </w:p>
        </w:tc>
        <w:tc>
          <w:tcPr>
            <w:tcW w:w="806" w:type="dxa"/>
            <w:vMerge w:val="continue"/>
            <w:vAlign w:val="center"/>
          </w:tcPr>
          <w:p>
            <w:pPr>
              <w:jc w:val="center"/>
              <w:rPr>
                <w:rFonts w:hint="default" w:ascii="Times New Roman" w:hAnsi="Times New Roman" w:eastAsia="仿宋_GB2312" w:cs="Times New Roman"/>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Merge w:val="continue"/>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p>
        </w:tc>
        <w:tc>
          <w:tcPr>
            <w:tcW w:w="1483" w:type="dxa"/>
            <w:vMerge w:val="continue"/>
            <w:vAlign w:val="center"/>
          </w:tcPr>
          <w:p>
            <w:pPr>
              <w:jc w:val="center"/>
              <w:rPr>
                <w:rFonts w:hint="default" w:ascii="Times New Roman" w:hAnsi="Times New Roman" w:eastAsia="仿宋_GB2312" w:cs="Times New Roman"/>
                <w:color w:val="auto"/>
                <w:sz w:val="24"/>
                <w:szCs w:val="24"/>
              </w:rPr>
            </w:pPr>
          </w:p>
        </w:tc>
        <w:tc>
          <w:tcPr>
            <w:tcW w:w="1177"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470104</w:t>
            </w:r>
          </w:p>
        </w:tc>
        <w:tc>
          <w:tcPr>
            <w:tcW w:w="1708" w:type="dxa"/>
            <w:vAlign w:val="center"/>
          </w:tcPr>
          <w:p>
            <w:pPr>
              <w:keepNext w:val="0"/>
              <w:keepLines w:val="0"/>
              <w:widowControl/>
              <w:suppressLineNumbers w:val="0"/>
              <w:jc w:val="center"/>
              <w:textAlignment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i w:val="0"/>
                <w:iCs w:val="0"/>
                <w:color w:val="auto"/>
                <w:kern w:val="0"/>
                <w:sz w:val="24"/>
                <w:szCs w:val="24"/>
                <w:u w:val="none"/>
                <w:lang w:val="en-US" w:eastAsia="zh-CN" w:bidi="ar"/>
              </w:rPr>
              <w:t>化工生物技术</w:t>
            </w:r>
          </w:p>
        </w:tc>
        <w:tc>
          <w:tcPr>
            <w:tcW w:w="1189" w:type="dxa"/>
            <w:vMerge w:val="continue"/>
            <w:vAlign w:val="center"/>
          </w:tcPr>
          <w:p>
            <w:pPr>
              <w:jc w:val="center"/>
              <w:rPr>
                <w:rFonts w:hint="default" w:ascii="Times New Roman" w:hAnsi="Times New Roman" w:eastAsia="仿宋_GB2312" w:cs="Times New Roman"/>
                <w:color w:val="auto"/>
                <w:kern w:val="0"/>
                <w:sz w:val="24"/>
                <w:szCs w:val="24"/>
              </w:rPr>
            </w:pPr>
          </w:p>
        </w:tc>
        <w:tc>
          <w:tcPr>
            <w:tcW w:w="1453" w:type="dxa"/>
            <w:vMerge w:val="continue"/>
            <w:vAlign w:val="center"/>
          </w:tcPr>
          <w:p>
            <w:pPr>
              <w:jc w:val="center"/>
              <w:rPr>
                <w:rFonts w:hint="default" w:ascii="Times New Roman" w:hAnsi="Times New Roman" w:eastAsia="仿宋_GB2312" w:cs="Times New Roman"/>
                <w:color w:val="auto"/>
                <w:kern w:val="0"/>
                <w:sz w:val="24"/>
                <w:szCs w:val="24"/>
              </w:rPr>
            </w:pPr>
          </w:p>
        </w:tc>
        <w:tc>
          <w:tcPr>
            <w:tcW w:w="806" w:type="dxa"/>
            <w:vMerge w:val="continue"/>
            <w:vAlign w:val="center"/>
          </w:tcPr>
          <w:p>
            <w:pPr>
              <w:jc w:val="center"/>
              <w:rPr>
                <w:rFonts w:hint="default" w:ascii="Times New Roman" w:hAnsi="Times New Roman" w:eastAsia="仿宋_GB2312" w:cs="Times New Roman"/>
                <w:color w:val="auto"/>
                <w:sz w:val="24"/>
                <w:szCs w:val="24"/>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2"/>
                <w:sz w:val="24"/>
                <w:szCs w:val="24"/>
                <w:vertAlign w:val="baseline"/>
                <w:lang w:val="en-US" w:eastAsia="zh-CN" w:bidi="ar-SA"/>
              </w:rPr>
              <w:t>6</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470208</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分析检验技术</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870201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应用化学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2"/>
                <w:sz w:val="24"/>
                <w:szCs w:val="24"/>
                <w:vertAlign w:val="baseline"/>
                <w:lang w:val="en-US" w:eastAsia="zh-CN" w:bidi="ar-SA"/>
              </w:rPr>
              <w:t>7</w:t>
            </w:r>
          </w:p>
        </w:tc>
        <w:tc>
          <w:tcPr>
            <w:tcW w:w="1483"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电子</w:t>
            </w:r>
            <w:r>
              <w:rPr>
                <w:rFonts w:hint="default" w:ascii="Times New Roman" w:hAnsi="Times New Roman" w:eastAsia="仿宋_GB2312" w:cs="Times New Roman"/>
                <w:color w:val="auto"/>
                <w:sz w:val="24"/>
                <w:szCs w:val="24"/>
                <w:lang w:val="en-US" w:eastAsia="zh-CN"/>
              </w:rPr>
              <w:t>与</w:t>
            </w:r>
            <w:r>
              <w:rPr>
                <w:rFonts w:hint="default" w:ascii="Times New Roman" w:hAnsi="Times New Roman" w:eastAsia="仿宋_GB2312" w:cs="Times New Roman"/>
                <w:color w:val="auto"/>
                <w:sz w:val="24"/>
                <w:szCs w:val="24"/>
              </w:rPr>
              <w:t>信息大类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510203</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软件技术</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910101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信息系统开发与维护</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2"/>
                <w:sz w:val="24"/>
                <w:szCs w:val="24"/>
                <w:vertAlign w:val="baseline"/>
                <w:lang w:val="en-US" w:eastAsia="zh-CN" w:bidi="ar-SA"/>
              </w:rPr>
              <w:t>8</w:t>
            </w:r>
          </w:p>
        </w:tc>
        <w:tc>
          <w:tcPr>
            <w:tcW w:w="1483"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财经商贸</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530601</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工商企业管理</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930101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区域经济开发与管理</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kern w:val="0"/>
                <w:sz w:val="24"/>
                <w:szCs w:val="24"/>
                <w:lang w:bidi="ar"/>
              </w:rPr>
              <w:t>9</w:t>
            </w:r>
          </w:p>
        </w:tc>
        <w:tc>
          <w:tcPr>
            <w:tcW w:w="1483"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文化艺术</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大类</w:t>
            </w:r>
          </w:p>
        </w:tc>
        <w:tc>
          <w:tcPr>
            <w:tcW w:w="1177" w:type="dxa"/>
            <w:vMerge w:val="restart"/>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550305</w:t>
            </w:r>
          </w:p>
        </w:tc>
        <w:tc>
          <w:tcPr>
            <w:tcW w:w="1708" w:type="dxa"/>
            <w:vMerge w:val="restart"/>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中国少数民族语言文化</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950301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维吾尔语言文学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10</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708"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950302</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哈萨克语言文学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11</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708"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950303</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蒙古语言</w:t>
            </w:r>
          </w:p>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12</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708"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950304</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朝鲜语言</w:t>
            </w:r>
          </w:p>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13</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708"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950305</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藏语言文学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14</w:t>
            </w:r>
          </w:p>
        </w:tc>
        <w:tc>
          <w:tcPr>
            <w:tcW w:w="1483"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新闻传播</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560102</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网络新闻与</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传播</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960101</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新闻学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15</w:t>
            </w:r>
          </w:p>
        </w:tc>
        <w:tc>
          <w:tcPr>
            <w:tcW w:w="1483" w:type="dxa"/>
            <w:vMerge w:val="restart"/>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rPr>
              <w:t>教育与体育大类</w:t>
            </w:r>
          </w:p>
        </w:tc>
        <w:tc>
          <w:tcPr>
            <w:tcW w:w="1177"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570106K</w:t>
            </w:r>
          </w:p>
        </w:tc>
        <w:tc>
          <w:tcPr>
            <w:tcW w:w="1708"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小学英语</w:t>
            </w:r>
          </w:p>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rPr>
              <w:t>教育</w:t>
            </w:r>
          </w:p>
        </w:tc>
        <w:tc>
          <w:tcPr>
            <w:tcW w:w="1189"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970101K</w:t>
            </w:r>
          </w:p>
        </w:tc>
        <w:tc>
          <w:tcPr>
            <w:tcW w:w="1453" w:type="dxa"/>
            <w:vAlign w:val="center"/>
          </w:tcPr>
          <w:p>
            <w:pPr>
              <w:jc w:val="center"/>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t>双语教育</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16</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570202</w:t>
            </w:r>
          </w:p>
        </w:tc>
        <w:tc>
          <w:tcPr>
            <w:tcW w:w="1708"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应用英语</w:t>
            </w:r>
          </w:p>
        </w:tc>
        <w:tc>
          <w:tcPr>
            <w:tcW w:w="1189"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970202</w:t>
            </w:r>
          </w:p>
        </w:tc>
        <w:tc>
          <w:tcPr>
            <w:tcW w:w="1453"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英语</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706" w:type="dxa"/>
            <w:vAlign w:val="center"/>
          </w:tcPr>
          <w:p>
            <w:pPr>
              <w:widowControl/>
              <w:jc w:val="center"/>
              <w:textAlignment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rPr>
              <w:t>17</w:t>
            </w:r>
          </w:p>
        </w:tc>
        <w:tc>
          <w:tcPr>
            <w:tcW w:w="1483" w:type="dxa"/>
            <w:vMerge w:val="continue"/>
            <w:vAlign w:val="center"/>
          </w:tcPr>
          <w:p>
            <w:pPr>
              <w:jc w:val="center"/>
              <w:rPr>
                <w:rFonts w:hint="default" w:ascii="Times New Roman" w:hAnsi="Times New Roman" w:eastAsia="仿宋_GB2312" w:cs="Times New Roman"/>
                <w:color w:val="auto"/>
                <w:sz w:val="24"/>
                <w:szCs w:val="24"/>
                <w:vertAlign w:val="baseline"/>
              </w:rPr>
            </w:pPr>
          </w:p>
        </w:tc>
        <w:tc>
          <w:tcPr>
            <w:tcW w:w="1177"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570209</w:t>
            </w:r>
          </w:p>
        </w:tc>
        <w:tc>
          <w:tcPr>
            <w:tcW w:w="1708" w:type="dxa"/>
            <w:vAlign w:val="center"/>
          </w:tcPr>
          <w:p>
            <w:pPr>
              <w:jc w:val="center"/>
              <w:rPr>
                <w:rFonts w:hint="default" w:ascii="Times New Roman" w:hAnsi="Times New Roman" w:eastAsia="仿宋_GB2312" w:cs="Times New Roman"/>
                <w:color w:val="auto"/>
                <w:kern w:val="2"/>
                <w:sz w:val="24"/>
                <w:szCs w:val="24"/>
                <w:vertAlign w:val="baseline"/>
                <w:lang w:val="en-US" w:eastAsia="zh-CN" w:bidi="ar-SA"/>
              </w:rPr>
            </w:pPr>
            <w:r>
              <w:rPr>
                <w:rFonts w:hint="default" w:ascii="Times New Roman" w:hAnsi="Times New Roman" w:eastAsia="仿宋_GB2312" w:cs="Times New Roman"/>
                <w:color w:val="auto"/>
                <w:sz w:val="24"/>
                <w:szCs w:val="24"/>
                <w:vertAlign w:val="baseline"/>
              </w:rPr>
              <w:t>中文</w:t>
            </w:r>
          </w:p>
        </w:tc>
        <w:tc>
          <w:tcPr>
            <w:tcW w:w="1189"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970201</w:t>
            </w:r>
          </w:p>
        </w:tc>
        <w:tc>
          <w:tcPr>
            <w:tcW w:w="1453" w:type="dxa"/>
            <w:vAlign w:val="center"/>
          </w:tcPr>
          <w:p>
            <w:pPr>
              <w:jc w:val="center"/>
              <w:rPr>
                <w:rFonts w:hint="default" w:ascii="Times New Roman" w:hAnsi="Times New Roman" w:eastAsia="仿宋_GB2312" w:cs="Times New Roman"/>
                <w:color w:val="auto"/>
                <w:kern w:val="0"/>
                <w:sz w:val="24"/>
                <w:szCs w:val="24"/>
                <w:lang w:val="en-US" w:eastAsia="zh-CN" w:bidi="ar-SA"/>
              </w:rPr>
            </w:pPr>
            <w:r>
              <w:rPr>
                <w:rFonts w:hint="default" w:ascii="Times New Roman" w:hAnsi="Times New Roman" w:eastAsia="仿宋_GB2312" w:cs="Times New Roman"/>
                <w:color w:val="auto"/>
                <w:kern w:val="0"/>
                <w:sz w:val="24"/>
                <w:szCs w:val="24"/>
              </w:rPr>
              <w:t>汉语言文学</w:t>
            </w:r>
          </w:p>
        </w:tc>
        <w:tc>
          <w:tcPr>
            <w:tcW w:w="806" w:type="dxa"/>
            <w:vAlign w:val="center"/>
          </w:tcPr>
          <w:p>
            <w:pPr>
              <w:jc w:val="center"/>
              <w:rPr>
                <w:rFonts w:hint="default" w:ascii="Times New Roman" w:hAnsi="Times New Roman" w:eastAsia="仿宋_GB2312" w:cs="Times New Roman"/>
                <w:color w:val="auto"/>
                <w:sz w:val="24"/>
                <w:szCs w:val="24"/>
                <w:vertAlign w:val="baseline"/>
              </w:rPr>
            </w:pPr>
            <w:r>
              <w:rPr>
                <w:rFonts w:hint="default" w:ascii="Times New Roman" w:hAnsi="Times New Roman" w:eastAsia="仿宋_GB2312" w:cs="Times New Roman"/>
                <w:color w:val="auto"/>
                <w:sz w:val="24"/>
                <w:szCs w:val="24"/>
                <w:vertAlign w:val="baseline"/>
                <w:lang w:val="en-US" w:eastAsia="zh-CN"/>
              </w:rPr>
              <w:t>并入</w:t>
            </w:r>
          </w:p>
        </w:tc>
      </w:tr>
    </w:tbl>
    <w:p>
      <w:pPr>
        <w:spacing w:line="440" w:lineRule="exact"/>
        <w:ind w:left="780" w:hanging="780" w:hangingChars="300"/>
        <w:rPr>
          <w:rFonts w:hint="default" w:ascii="Times New Roman" w:hAnsi="Times New Roman" w:eastAsia="楷体_GB2312" w:cs="Times New Roman"/>
          <w:color w:val="auto"/>
          <w:kern w:val="0"/>
          <w:sz w:val="26"/>
          <w:szCs w:val="24"/>
        </w:rPr>
      </w:pPr>
      <w:r>
        <w:rPr>
          <w:rFonts w:hint="default" w:ascii="Times New Roman" w:hAnsi="Times New Roman" w:eastAsia="楷体_GB2312" w:cs="Times New Roman"/>
          <w:color w:val="auto"/>
          <w:kern w:val="0"/>
          <w:sz w:val="26"/>
          <w:szCs w:val="24"/>
        </w:rPr>
        <w:t>注：1.补充本科目录中学科门类划分依据《普通高等学校本科专业目录（20</w:t>
      </w:r>
      <w:r>
        <w:rPr>
          <w:rFonts w:hint="default" w:ascii="Times New Roman" w:hAnsi="Times New Roman" w:eastAsia="楷体_GB2312" w:cs="Times New Roman"/>
          <w:color w:val="auto"/>
          <w:kern w:val="0"/>
          <w:sz w:val="26"/>
          <w:szCs w:val="24"/>
          <w:lang w:val="en-US" w:eastAsia="zh-CN"/>
        </w:rPr>
        <w:t>21</w:t>
      </w:r>
      <w:r>
        <w:rPr>
          <w:rFonts w:hint="default" w:ascii="Times New Roman" w:hAnsi="Times New Roman" w:eastAsia="楷体_GB2312" w:cs="Times New Roman"/>
          <w:color w:val="auto"/>
          <w:kern w:val="0"/>
          <w:sz w:val="26"/>
          <w:szCs w:val="24"/>
        </w:rPr>
        <w:t>年</w:t>
      </w:r>
      <w:r>
        <w:rPr>
          <w:rFonts w:hint="default" w:ascii="Times New Roman" w:hAnsi="Times New Roman" w:eastAsia="楷体_GB2312" w:cs="Times New Roman"/>
          <w:color w:val="auto"/>
          <w:kern w:val="0"/>
          <w:sz w:val="26"/>
          <w:szCs w:val="24"/>
          <w:lang w:val="en-US" w:eastAsia="zh-CN"/>
        </w:rPr>
        <w:t>版</w:t>
      </w:r>
      <w:r>
        <w:rPr>
          <w:rFonts w:hint="default" w:ascii="Times New Roman" w:hAnsi="Times New Roman" w:eastAsia="楷体_GB2312" w:cs="Times New Roman"/>
          <w:color w:val="auto"/>
          <w:kern w:val="0"/>
          <w:sz w:val="26"/>
          <w:szCs w:val="24"/>
        </w:rPr>
        <w:t>）》。</w:t>
      </w:r>
    </w:p>
    <w:p>
      <w:pPr>
        <w:spacing w:line="440" w:lineRule="exact"/>
        <w:ind w:left="755" w:leftChars="236" w:hanging="260" w:hangingChars="100"/>
        <w:rPr>
          <w:rFonts w:hint="default" w:ascii="Times New Roman" w:hAnsi="Times New Roman" w:eastAsia="楷体_GB2312" w:cs="Times New Roman"/>
          <w:color w:val="auto"/>
          <w:kern w:val="0"/>
          <w:sz w:val="26"/>
          <w:szCs w:val="24"/>
        </w:rPr>
      </w:pPr>
      <w:r>
        <w:rPr>
          <w:rFonts w:hint="default" w:ascii="Times New Roman" w:hAnsi="Times New Roman" w:eastAsia="楷体_GB2312" w:cs="Times New Roman"/>
          <w:color w:val="auto"/>
          <w:kern w:val="0"/>
          <w:sz w:val="26"/>
          <w:szCs w:val="24"/>
        </w:rPr>
        <w:t>2.补充专科目录中专业大类划分依据《</w:t>
      </w:r>
      <w:r>
        <w:rPr>
          <w:rFonts w:hint="default" w:ascii="Times New Roman" w:hAnsi="Times New Roman" w:eastAsia="楷体_GB2312" w:cs="Times New Roman"/>
          <w:color w:val="auto"/>
          <w:kern w:val="0"/>
          <w:sz w:val="26"/>
          <w:szCs w:val="24"/>
          <w:lang w:val="en-US" w:eastAsia="zh-CN"/>
        </w:rPr>
        <w:t>职业教育</w:t>
      </w:r>
      <w:r>
        <w:rPr>
          <w:rFonts w:hint="default" w:ascii="Times New Roman" w:hAnsi="Times New Roman" w:eastAsia="楷体_GB2312" w:cs="Times New Roman"/>
          <w:color w:val="auto"/>
          <w:kern w:val="0"/>
          <w:sz w:val="26"/>
          <w:szCs w:val="24"/>
        </w:rPr>
        <w:t>专业目录（20</w:t>
      </w:r>
      <w:r>
        <w:rPr>
          <w:rFonts w:hint="default" w:ascii="Times New Roman" w:hAnsi="Times New Roman" w:eastAsia="楷体_GB2312" w:cs="Times New Roman"/>
          <w:color w:val="auto"/>
          <w:kern w:val="0"/>
          <w:sz w:val="26"/>
          <w:szCs w:val="24"/>
          <w:lang w:val="en-US" w:eastAsia="zh-CN"/>
        </w:rPr>
        <w:t>21</w:t>
      </w:r>
      <w:r>
        <w:rPr>
          <w:rFonts w:hint="default" w:ascii="Times New Roman" w:hAnsi="Times New Roman" w:eastAsia="楷体_GB2312" w:cs="Times New Roman"/>
          <w:color w:val="auto"/>
          <w:kern w:val="0"/>
          <w:sz w:val="26"/>
          <w:szCs w:val="24"/>
        </w:rPr>
        <w:t>年）》。</w:t>
      </w:r>
    </w:p>
    <w:p>
      <w:pPr>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br w:type="page"/>
      </w:r>
    </w:p>
    <w:p>
      <w:pPr>
        <w:pStyle w:val="6"/>
        <w:spacing w:beforeAutospacing="0" w:afterAutospacing="0" w:line="600" w:lineRule="exact"/>
        <w:jc w:val="both"/>
        <w:rPr>
          <w:rFonts w:hint="eastAsia" w:ascii="Times New Roman" w:hAnsi="Times New Roman" w:eastAsia="黑体"/>
          <w:sz w:val="32"/>
          <w:szCs w:val="32"/>
          <w:shd w:val="clear" w:color="auto" w:fill="FFFFFF"/>
          <w:lang w:eastAsia="zh-CN"/>
        </w:rPr>
      </w:pPr>
      <w:r>
        <w:rPr>
          <w:rFonts w:ascii="Times New Roman" w:hAnsi="Times New Roman" w:eastAsia="黑体"/>
          <w:sz w:val="32"/>
          <w:szCs w:val="32"/>
          <w:shd w:val="clear" w:color="auto" w:fill="FFFFFF"/>
        </w:rPr>
        <w:t>附</w:t>
      </w:r>
      <w:r>
        <w:rPr>
          <w:rFonts w:hint="eastAsia" w:ascii="Times New Roman" w:hAnsi="Times New Roman" w:eastAsia="黑体"/>
          <w:sz w:val="32"/>
          <w:szCs w:val="32"/>
          <w:shd w:val="clear" w:color="auto" w:fill="FFFFFF"/>
          <w:lang w:val="en-US" w:eastAsia="zh-CN"/>
        </w:rPr>
        <w:t>3</w:t>
      </w:r>
    </w:p>
    <w:p>
      <w:pPr>
        <w:pStyle w:val="6"/>
        <w:spacing w:beforeAutospacing="0" w:afterAutospacing="0" w:line="600" w:lineRule="exact"/>
        <w:jc w:val="center"/>
        <w:rPr>
          <w:rFonts w:ascii="Times New Roman" w:hAnsi="Times New Roman" w:eastAsia="方正小标宋简体"/>
          <w:sz w:val="44"/>
          <w:szCs w:val="44"/>
          <w:shd w:val="clear" w:color="auto" w:fill="FFFFFF"/>
        </w:rPr>
      </w:pPr>
    </w:p>
    <w:p>
      <w:pPr>
        <w:pStyle w:val="6"/>
        <w:spacing w:beforeAutospacing="0" w:afterAutospacing="0" w:line="600" w:lineRule="exact"/>
        <w:jc w:val="center"/>
        <w:rPr>
          <w:rFonts w:ascii="Times New Roman" w:hAnsi="Times New Roman" w:eastAsia="方正小标宋简体"/>
          <w:sz w:val="44"/>
          <w:szCs w:val="44"/>
          <w:shd w:val="clear" w:color="auto" w:fill="FFFFFF"/>
        </w:rPr>
      </w:pPr>
      <w:r>
        <w:rPr>
          <w:rFonts w:ascii="Times New Roman" w:hAnsi="Times New Roman" w:eastAsia="方正小标宋简体"/>
          <w:sz w:val="44"/>
          <w:szCs w:val="44"/>
          <w:shd w:val="clear" w:color="auto" w:fill="FFFFFF"/>
        </w:rPr>
        <w:t>专业设置备案工作</w:t>
      </w:r>
      <w:r>
        <w:rPr>
          <w:rFonts w:hint="eastAsia" w:ascii="Times New Roman" w:hAnsi="Times New Roman" w:eastAsia="方正小标宋简体"/>
          <w:sz w:val="44"/>
          <w:szCs w:val="44"/>
          <w:shd w:val="clear" w:color="auto" w:fill="FFFFFF"/>
          <w:lang w:val="en-US" w:eastAsia="zh-CN"/>
        </w:rPr>
        <w:t>具体安排</w:t>
      </w:r>
    </w:p>
    <w:p>
      <w:pPr>
        <w:pStyle w:val="6"/>
        <w:spacing w:beforeAutospacing="0" w:afterAutospacing="0" w:line="600" w:lineRule="exact"/>
        <w:ind w:firstLine="640" w:firstLineChars="200"/>
        <w:jc w:val="both"/>
        <w:rPr>
          <w:rFonts w:ascii="Times New Roman" w:hAnsi="Times New Roman" w:eastAsia="仿宋"/>
          <w:sz w:val="32"/>
          <w:szCs w:val="32"/>
          <w:shd w:val="clear" w:color="auto" w:fill="FFFFFF"/>
        </w:rPr>
      </w:pPr>
    </w:p>
    <w:p>
      <w:pPr>
        <w:pStyle w:val="6"/>
        <w:tabs>
          <w:tab w:val="left" w:pos="3150"/>
        </w:tabs>
        <w:spacing w:beforeAutospacing="0" w:afterAutospacing="0" w:line="60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sz w:val="32"/>
          <w:szCs w:val="32"/>
          <w:lang w:val="en-US" w:eastAsia="zh-CN"/>
        </w:rPr>
        <w:t>一、</w:t>
      </w:r>
      <w:r>
        <w:rPr>
          <w:rFonts w:ascii="Times New Roman" w:hAnsi="Times New Roman" w:eastAsia="仿宋_GB2312"/>
          <w:sz w:val="32"/>
          <w:szCs w:val="32"/>
        </w:rPr>
        <w:t>独立设置的成人高校、开放大学对拟设置的新专业，要认真组织校内外专家评议。对评议通过的专业，通过信息管理系统提交</w:t>
      </w:r>
      <w:r>
        <w:rPr>
          <w:rFonts w:hint="eastAsia" w:ascii="Times New Roman" w:hAnsi="Times New Roman" w:eastAsia="仿宋_GB2312"/>
          <w:sz w:val="32"/>
          <w:szCs w:val="32"/>
        </w:rPr>
        <w:t>非国控专业增设申请表</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lang w:val="en-US" w:eastAsia="zh-CN"/>
        </w:rPr>
        <w:t>含</w:t>
      </w:r>
      <w:r>
        <w:rPr>
          <w:rFonts w:ascii="Times New Roman" w:hAnsi="Times New Roman" w:eastAsia="仿宋_GB2312"/>
          <w:sz w:val="32"/>
          <w:szCs w:val="32"/>
        </w:rPr>
        <w:t>人才需求报告、专业论证报告</w:t>
      </w:r>
      <w:r>
        <w:rPr>
          <w:rFonts w:hint="eastAsia" w:ascii="Times New Roman" w:hAnsi="Times New Roman" w:eastAsia="仿宋_GB2312"/>
          <w:sz w:val="32"/>
          <w:szCs w:val="32"/>
          <w:lang w:eastAsia="zh-CN"/>
        </w:rPr>
        <w:t>）</w:t>
      </w:r>
      <w:r>
        <w:rPr>
          <w:rFonts w:ascii="Times New Roman" w:hAnsi="Times New Roman" w:eastAsia="仿宋_GB2312"/>
          <w:sz w:val="32"/>
          <w:szCs w:val="32"/>
        </w:rPr>
        <w:t>和人才培养方案等申请材料。须在信息管理系统</w:t>
      </w:r>
      <w:r>
        <w:rPr>
          <w:rFonts w:hint="eastAsia" w:ascii="Times New Roman" w:hAnsi="Times New Roman" w:eastAsia="仿宋_GB2312"/>
          <w:sz w:val="32"/>
          <w:szCs w:val="32"/>
          <w:lang w:val="en-US" w:eastAsia="zh-CN"/>
        </w:rPr>
        <w:t>按规定</w:t>
      </w:r>
      <w:r>
        <w:rPr>
          <w:rFonts w:ascii="Times New Roman" w:hAnsi="Times New Roman" w:eastAsia="仿宋_GB2312"/>
          <w:sz w:val="32"/>
          <w:szCs w:val="32"/>
        </w:rPr>
        <w:t>面向社会公示，学校官方网站应同步公示。公示期满后，学校对公示期间收到的意见进行研究处理，及时将意见处理情况与修改后的申请材料提交信息管理系统。对于已开设的专业，各校通过信息管理系统填报当年拟招生专业及相关信息。</w:t>
      </w:r>
    </w:p>
    <w:p>
      <w:pPr>
        <w:pStyle w:val="6"/>
        <w:spacing w:beforeAutospacing="0" w:afterAutospacing="0" w:line="600" w:lineRule="exact"/>
        <w:ind w:firstLine="640" w:firstLineChars="200"/>
        <w:jc w:val="both"/>
        <w:rPr>
          <w:rFonts w:hint="eastAsia" w:ascii="Times New Roman" w:hAnsi="Times New Roman" w:eastAsia="仿宋_GB2312"/>
          <w:sz w:val="32"/>
          <w:szCs w:val="32"/>
        </w:rPr>
      </w:pPr>
      <w:r>
        <w:rPr>
          <w:rFonts w:hint="eastAsia" w:ascii="Times New Roman" w:hAnsi="Times New Roman" w:eastAsia="仿宋"/>
          <w:sz w:val="32"/>
          <w:szCs w:val="32"/>
          <w:shd w:val="clear" w:color="auto" w:fill="FFFFFF"/>
          <w:lang w:val="en-US" w:eastAsia="zh-CN"/>
        </w:rPr>
        <w:t>二、</w:t>
      </w:r>
      <w:r>
        <w:rPr>
          <w:rFonts w:ascii="Times New Roman" w:hAnsi="Times New Roman" w:eastAsia="仿宋_GB2312"/>
          <w:sz w:val="32"/>
          <w:szCs w:val="32"/>
        </w:rPr>
        <w:t>2025年</w:t>
      </w:r>
      <w:r>
        <w:rPr>
          <w:rFonts w:hint="eastAsia" w:ascii="Times New Roman" w:hAnsi="Times New Roman" w:eastAsia="仿宋_GB2312"/>
          <w:sz w:val="32"/>
          <w:szCs w:val="32"/>
          <w:lang w:val="en-US" w:eastAsia="zh-CN"/>
        </w:rPr>
        <w:t>3</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10</w:t>
      </w:r>
      <w:r>
        <w:rPr>
          <w:rFonts w:ascii="Times New Roman" w:hAnsi="Times New Roman" w:eastAsia="仿宋_GB2312"/>
          <w:sz w:val="32"/>
          <w:szCs w:val="32"/>
        </w:rPr>
        <w:t>日前，各高校通过信息管理系统填报当年拟招生专业及相关信息。与上一年招生专业相比，</w:t>
      </w:r>
      <w:r>
        <w:rPr>
          <w:rFonts w:hint="eastAsia" w:ascii="Times New Roman" w:hAnsi="Times New Roman" w:eastAsia="仿宋_GB2312"/>
          <w:sz w:val="32"/>
          <w:szCs w:val="32"/>
          <w:lang w:val="en-US" w:eastAsia="zh-CN"/>
        </w:rPr>
        <w:t>专业名称、</w:t>
      </w:r>
      <w:r>
        <w:rPr>
          <w:rFonts w:ascii="Times New Roman" w:hAnsi="Times New Roman" w:eastAsia="仿宋_GB2312"/>
          <w:sz w:val="32"/>
          <w:szCs w:val="32"/>
        </w:rPr>
        <w:t>修业年限、培养层次</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lang w:val="en-US" w:eastAsia="zh-CN"/>
        </w:rPr>
        <w:t>办学形式（如脱产变为非脱产）</w:t>
      </w:r>
      <w:r>
        <w:rPr>
          <w:rFonts w:ascii="Times New Roman" w:hAnsi="Times New Roman" w:eastAsia="仿宋_GB2312"/>
          <w:sz w:val="32"/>
          <w:szCs w:val="32"/>
        </w:rPr>
        <w:t>等关键办学信息发生变更的拟招生专业，均按照新设专业程序和要求提交材料和开展备案。</w:t>
      </w:r>
      <w:r>
        <w:rPr>
          <w:rFonts w:hint="eastAsia" w:ascii="Times New Roman" w:hAnsi="Times New Roman" w:eastAsia="仿宋_GB2312"/>
          <w:sz w:val="32"/>
          <w:szCs w:val="32"/>
        </w:rPr>
        <w:t>高校开设非脱产</w:t>
      </w:r>
      <w:r>
        <w:rPr>
          <w:rFonts w:hint="eastAsia" w:ascii="Times New Roman" w:hAnsi="Times New Roman" w:eastAsia="仿宋_GB2312"/>
          <w:sz w:val="32"/>
          <w:szCs w:val="32"/>
          <w:lang w:val="en-US" w:eastAsia="zh-CN"/>
        </w:rPr>
        <w:t>形式的继续教育</w:t>
      </w:r>
      <w:r>
        <w:rPr>
          <w:rFonts w:hint="eastAsia" w:ascii="Times New Roman" w:hAnsi="Times New Roman" w:eastAsia="仿宋_GB2312"/>
          <w:sz w:val="32"/>
          <w:szCs w:val="32"/>
        </w:rPr>
        <w:t>专业，如与2024年已备案的专业名称相同，且无其他关键信息变更，不列入新增专业。</w:t>
      </w:r>
    </w:p>
    <w:p>
      <w:pPr>
        <w:pStyle w:val="6"/>
        <w:spacing w:beforeAutospacing="0" w:afterAutospacing="0" w:line="600" w:lineRule="exact"/>
        <w:ind w:firstLine="640" w:firstLineChars="200"/>
        <w:jc w:val="both"/>
        <w:rPr>
          <w:rFonts w:hint="default" w:ascii="Times New Roman" w:hAnsi="Times New Roman" w:eastAsia="仿宋_GB2312"/>
          <w:sz w:val="32"/>
          <w:szCs w:val="32"/>
          <w:lang w:val="en-US"/>
        </w:rPr>
      </w:pPr>
      <w:r>
        <w:rPr>
          <w:rFonts w:hint="eastAsia" w:ascii="Times New Roman" w:hAnsi="Times New Roman" w:eastAsia="仿宋_GB2312"/>
          <w:sz w:val="32"/>
          <w:szCs w:val="32"/>
          <w:lang w:val="en-US" w:eastAsia="zh-CN"/>
        </w:rPr>
        <w:t>三、2025年4</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10</w:t>
      </w:r>
      <w:r>
        <w:rPr>
          <w:rFonts w:ascii="Times New Roman" w:hAnsi="Times New Roman" w:eastAsia="仿宋_GB2312"/>
          <w:sz w:val="32"/>
          <w:szCs w:val="32"/>
        </w:rPr>
        <w:t>日前，省级教育行政部门组织对本地高校拟开设专业进行统筹，通过信息管理系统提交</w:t>
      </w:r>
      <w:r>
        <w:rPr>
          <w:rFonts w:hint="eastAsia" w:ascii="Times New Roman" w:hAnsi="Times New Roman" w:eastAsia="仿宋_GB2312"/>
          <w:sz w:val="32"/>
          <w:szCs w:val="32"/>
        </w:rPr>
        <w:t>至</w:t>
      </w:r>
      <w:r>
        <w:rPr>
          <w:rFonts w:ascii="Times New Roman" w:hAnsi="Times New Roman" w:eastAsia="仿宋_GB2312"/>
          <w:sz w:val="32"/>
          <w:szCs w:val="32"/>
        </w:rPr>
        <w:t>教育部。同时，从系统下载打印《2025年××（省份）高校学历继续教育拟招生专业情况汇总表》，</w:t>
      </w:r>
      <w:r>
        <w:rPr>
          <w:rFonts w:ascii="Times New Roman" w:hAnsi="Times New Roman" w:eastAsia="仿宋_GB2312"/>
          <w:sz w:val="32"/>
          <w:szCs w:val="32"/>
          <w:lang w:eastAsia="zh-Hans"/>
        </w:rPr>
        <w:t>文档电子版和加盖公章后的PDF电子版</w:t>
      </w:r>
      <w:r>
        <w:rPr>
          <w:rFonts w:hint="eastAsia" w:ascii="Times New Roman" w:hAnsi="Times New Roman" w:eastAsia="仿宋_GB2312"/>
          <w:sz w:val="32"/>
          <w:szCs w:val="32"/>
          <w:lang w:val="en-US" w:eastAsia="zh-CN"/>
        </w:rPr>
        <w:t>上传至平台，同时</w:t>
      </w:r>
      <w:r>
        <w:rPr>
          <w:rFonts w:ascii="Times New Roman" w:hAnsi="Times New Roman" w:eastAsia="仿宋_GB2312"/>
          <w:sz w:val="32"/>
          <w:szCs w:val="32"/>
          <w:lang w:eastAsia="zh-Hans"/>
        </w:rPr>
        <w:t>发</w:t>
      </w:r>
      <w:r>
        <w:rPr>
          <w:rFonts w:ascii="Times New Roman" w:hAnsi="Times New Roman" w:eastAsia="仿宋_GB2312"/>
          <w:sz w:val="32"/>
          <w:szCs w:val="32"/>
        </w:rPr>
        <w:t>送</w:t>
      </w:r>
      <w:r>
        <w:rPr>
          <w:rFonts w:ascii="Times New Roman" w:hAnsi="Times New Roman" w:eastAsia="仿宋_GB2312"/>
          <w:sz w:val="32"/>
          <w:szCs w:val="32"/>
          <w:lang w:eastAsia="zh-Hans"/>
        </w:rPr>
        <w:t>至邮箱</w:t>
      </w:r>
      <w:r>
        <w:rPr>
          <w:rFonts w:ascii="Times New Roman" w:hAnsi="Times New Roman" w:eastAsia="仿宋_GB2312"/>
          <w:sz w:val="32"/>
          <w:szCs w:val="32"/>
        </w:rPr>
        <w:t>dce@moe.edu.cn。国家开放大学于</w:t>
      </w:r>
      <w:r>
        <w:rPr>
          <w:rFonts w:hint="eastAsia" w:ascii="Times New Roman" w:hAnsi="Times New Roman" w:eastAsia="仿宋_GB2312"/>
          <w:sz w:val="32"/>
          <w:szCs w:val="32"/>
          <w:lang w:val="en-US" w:eastAsia="zh-CN"/>
        </w:rPr>
        <w:t>4</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10</w:t>
      </w:r>
      <w:r>
        <w:rPr>
          <w:rFonts w:ascii="Times New Roman" w:hAnsi="Times New Roman" w:eastAsia="仿宋_GB2312"/>
          <w:sz w:val="32"/>
          <w:szCs w:val="32"/>
        </w:rPr>
        <w:t>日前将《2025年国家开放大学拟招生专业情况汇总表》</w:t>
      </w:r>
      <w:r>
        <w:rPr>
          <w:rFonts w:ascii="Times New Roman" w:hAnsi="Times New Roman" w:eastAsia="仿宋_GB2312"/>
          <w:sz w:val="32"/>
          <w:szCs w:val="32"/>
          <w:lang w:eastAsia="zh-Hans"/>
        </w:rPr>
        <w:t>文档电子版和加盖公章后的PDF电子版</w:t>
      </w:r>
      <w:r>
        <w:rPr>
          <w:rFonts w:hint="eastAsia" w:ascii="Times New Roman" w:hAnsi="Times New Roman" w:eastAsia="仿宋_GB2312"/>
          <w:sz w:val="32"/>
          <w:szCs w:val="32"/>
          <w:lang w:val="en-US" w:eastAsia="zh-CN"/>
        </w:rPr>
        <w:t>上传至平台，同时</w:t>
      </w:r>
      <w:r>
        <w:rPr>
          <w:rFonts w:ascii="Times New Roman" w:hAnsi="Times New Roman" w:eastAsia="仿宋_GB2312"/>
          <w:sz w:val="32"/>
          <w:szCs w:val="32"/>
          <w:lang w:eastAsia="zh-Hans"/>
        </w:rPr>
        <w:t>发</w:t>
      </w:r>
      <w:r>
        <w:rPr>
          <w:rFonts w:ascii="Times New Roman" w:hAnsi="Times New Roman" w:eastAsia="仿宋_GB2312"/>
          <w:sz w:val="32"/>
          <w:szCs w:val="32"/>
        </w:rPr>
        <w:t>送</w:t>
      </w:r>
      <w:r>
        <w:rPr>
          <w:rFonts w:ascii="Times New Roman" w:hAnsi="Times New Roman" w:eastAsia="仿宋_GB2312"/>
          <w:sz w:val="32"/>
          <w:szCs w:val="32"/>
          <w:lang w:eastAsia="zh-Hans"/>
        </w:rPr>
        <w:t>至邮箱</w:t>
      </w:r>
      <w:r>
        <w:rPr>
          <w:rFonts w:ascii="Times New Roman" w:hAnsi="Times New Roman" w:eastAsia="仿宋_GB2312"/>
          <w:sz w:val="32"/>
          <w:szCs w:val="32"/>
        </w:rPr>
        <w:t>dce@moe.edu.cn</w:t>
      </w:r>
      <w:r>
        <w:rPr>
          <w:rFonts w:ascii="Times New Roman" w:hAnsi="Times New Roman" w:eastAsia="仿宋_GB2312"/>
          <w:sz w:val="32"/>
          <w:szCs w:val="32"/>
          <w:lang w:eastAsia="zh-Hans"/>
        </w:rPr>
        <w:t>。</w:t>
      </w:r>
    </w:p>
    <w:p>
      <w:pPr>
        <w:pStyle w:val="6"/>
        <w:spacing w:beforeAutospacing="0" w:afterAutospacing="0" w:line="600" w:lineRule="exact"/>
        <w:ind w:firstLine="640" w:firstLineChars="200"/>
        <w:jc w:val="both"/>
        <w:rPr>
          <w:rFonts w:ascii="Times New Roman" w:hAnsi="Times New Roman" w:eastAsia="仿宋"/>
          <w:sz w:val="32"/>
          <w:szCs w:val="32"/>
          <w:shd w:val="clear" w:color="auto" w:fill="FFFFFF"/>
        </w:rPr>
      </w:pPr>
      <w:r>
        <w:rPr>
          <w:rFonts w:hint="eastAsia" w:ascii="Times New Roman" w:hAnsi="Times New Roman" w:eastAsia="仿宋_GB2312"/>
          <w:sz w:val="32"/>
          <w:szCs w:val="32"/>
          <w:shd w:val="clear" w:color="auto" w:fill="auto"/>
          <w:lang w:val="en-US" w:eastAsia="zh-CN"/>
        </w:rPr>
        <w:t>四、</w:t>
      </w:r>
      <w:r>
        <w:rPr>
          <w:rFonts w:hint="default" w:ascii="Times New Roman" w:hAnsi="Times New Roman" w:eastAsia="仿宋_GB2312"/>
          <w:sz w:val="32"/>
          <w:szCs w:val="32"/>
          <w:shd w:val="clear" w:color="auto" w:fill="auto"/>
          <w:lang w:val="en-US" w:eastAsia="zh-Hans"/>
        </w:rPr>
        <w:t>全国高等教育自学考试</w:t>
      </w:r>
      <w:r>
        <w:rPr>
          <w:rFonts w:hint="eastAsia" w:ascii="Times New Roman" w:hAnsi="Times New Roman" w:eastAsia="仿宋_GB2312"/>
          <w:sz w:val="32"/>
          <w:szCs w:val="32"/>
          <w:shd w:val="clear" w:color="auto" w:fill="auto"/>
          <w:lang w:val="en-US" w:eastAsia="zh-CN"/>
        </w:rPr>
        <w:t>指导</w:t>
      </w:r>
      <w:r>
        <w:rPr>
          <w:rFonts w:hint="default" w:ascii="Times New Roman" w:hAnsi="Times New Roman" w:eastAsia="仿宋_GB2312"/>
          <w:sz w:val="32"/>
          <w:szCs w:val="32"/>
          <w:shd w:val="clear" w:color="auto" w:fill="auto"/>
          <w:lang w:val="en-US" w:eastAsia="zh-Hans"/>
        </w:rPr>
        <w:t>委员会</w:t>
      </w:r>
      <w:r>
        <w:rPr>
          <w:rFonts w:ascii="Times New Roman" w:hAnsi="Times New Roman" w:eastAsia="仿宋_GB2312"/>
          <w:sz w:val="32"/>
          <w:szCs w:val="32"/>
          <w:lang w:eastAsia="zh-Hans"/>
        </w:rPr>
        <w:t>统筹自学考试专业开考。各省级考委统筹规划本地区高等教育自学考试开考专业，具体由各省级教育考试机构报经省级教育行政部门确认后，</w:t>
      </w:r>
      <w:r>
        <w:rPr>
          <w:rFonts w:hint="eastAsia" w:ascii="Times New Roman" w:hAnsi="Times New Roman" w:eastAsia="仿宋_GB2312"/>
          <w:sz w:val="32"/>
          <w:szCs w:val="32"/>
          <w:lang w:val="en-US" w:eastAsia="zh-CN"/>
        </w:rPr>
        <w:t>由省级教育考试机构</w:t>
      </w:r>
      <w:r>
        <w:rPr>
          <w:rFonts w:ascii="Times New Roman" w:hAnsi="Times New Roman" w:eastAsia="仿宋_GB2312"/>
          <w:sz w:val="32"/>
          <w:szCs w:val="32"/>
          <w:lang w:eastAsia="zh-Hans"/>
        </w:rPr>
        <w:t>将《2025年××（省份）高等教育自学考试开考专业情况汇总表》</w:t>
      </w:r>
      <w:r>
        <w:rPr>
          <w:rFonts w:hint="eastAsia" w:ascii="Times New Roman" w:hAnsi="Times New Roman" w:eastAsia="仿宋_GB2312"/>
          <w:sz w:val="32"/>
          <w:szCs w:val="32"/>
          <w:lang w:eastAsia="zh-CN"/>
        </w:rPr>
        <w:t>《</w:t>
      </w:r>
      <w:r>
        <w:rPr>
          <w:rFonts w:ascii="Times New Roman" w:hAnsi="Times New Roman" w:eastAsia="仿宋_GB2312"/>
          <w:sz w:val="32"/>
          <w:szCs w:val="32"/>
          <w:lang w:eastAsia="zh-Hans"/>
        </w:rPr>
        <w:t>2025年××（省份）高等教育自学考试</w:t>
      </w:r>
      <w:r>
        <w:rPr>
          <w:rFonts w:hint="eastAsia" w:ascii="Times New Roman" w:hAnsi="Times New Roman" w:eastAsia="仿宋_GB2312"/>
          <w:sz w:val="32"/>
          <w:szCs w:val="32"/>
          <w:lang w:val="en-US" w:eastAsia="zh-CN"/>
        </w:rPr>
        <w:t>助学机构情况汇总表</w:t>
      </w:r>
      <w:r>
        <w:rPr>
          <w:rFonts w:hint="eastAsia" w:ascii="Times New Roman" w:hAnsi="Times New Roman" w:eastAsia="仿宋_GB2312"/>
          <w:sz w:val="32"/>
          <w:szCs w:val="32"/>
          <w:lang w:eastAsia="zh-CN"/>
        </w:rPr>
        <w:t>》</w:t>
      </w:r>
      <w:r>
        <w:rPr>
          <w:rFonts w:ascii="Times New Roman" w:hAnsi="Times New Roman" w:eastAsia="仿宋_GB2312"/>
          <w:sz w:val="32"/>
          <w:szCs w:val="32"/>
          <w:lang w:eastAsia="zh-Hans"/>
        </w:rPr>
        <w:t>文档电子版和加盖公章后的PDF电子版于</w:t>
      </w:r>
      <w:r>
        <w:rPr>
          <w:rFonts w:hint="eastAsia" w:ascii="Times New Roman" w:hAnsi="Times New Roman" w:eastAsia="仿宋_GB2312"/>
          <w:sz w:val="32"/>
          <w:szCs w:val="32"/>
          <w:lang w:val="en-US" w:eastAsia="zh-CN"/>
        </w:rPr>
        <w:t>4</w:t>
      </w:r>
      <w:r>
        <w:rPr>
          <w:rFonts w:ascii="Times New Roman" w:hAnsi="Times New Roman" w:eastAsia="仿宋_GB2312"/>
          <w:sz w:val="32"/>
          <w:szCs w:val="32"/>
          <w:lang w:eastAsia="zh-Hans"/>
        </w:rPr>
        <w:t>月</w:t>
      </w:r>
      <w:r>
        <w:rPr>
          <w:rFonts w:hint="eastAsia" w:ascii="Times New Roman" w:hAnsi="Times New Roman" w:eastAsia="仿宋_GB2312"/>
          <w:sz w:val="32"/>
          <w:szCs w:val="32"/>
          <w:lang w:val="en-US" w:eastAsia="zh-CN"/>
        </w:rPr>
        <w:t>10</w:t>
      </w:r>
      <w:r>
        <w:rPr>
          <w:rFonts w:ascii="Times New Roman" w:hAnsi="Times New Roman" w:eastAsia="仿宋_GB2312"/>
          <w:sz w:val="32"/>
          <w:szCs w:val="32"/>
          <w:lang w:eastAsia="zh-Hans"/>
        </w:rPr>
        <w:t>日前</w:t>
      </w:r>
      <w:r>
        <w:rPr>
          <w:rFonts w:hint="eastAsia" w:ascii="Times New Roman" w:hAnsi="Times New Roman" w:eastAsia="仿宋_GB2312"/>
          <w:sz w:val="32"/>
          <w:szCs w:val="32"/>
          <w:lang w:val="en-US" w:eastAsia="zh-CN"/>
        </w:rPr>
        <w:t>上传至平台，同时</w:t>
      </w:r>
      <w:r>
        <w:rPr>
          <w:rFonts w:ascii="Times New Roman" w:hAnsi="Times New Roman" w:eastAsia="仿宋_GB2312"/>
          <w:sz w:val="32"/>
          <w:szCs w:val="32"/>
          <w:lang w:eastAsia="zh-Hans"/>
        </w:rPr>
        <w:t>发送至教育部教育考试院邮箱</w:t>
      </w:r>
      <w:r>
        <w:rPr>
          <w:rFonts w:ascii="Times New Roman" w:hAnsi="Times New Roman" w:eastAsia="仿宋"/>
          <w:sz w:val="32"/>
          <w:szCs w:val="32"/>
          <w:shd w:val="clear" w:color="auto" w:fill="FFFFFF"/>
        </w:rPr>
        <w:t>bgs@mail.neea.cn</w:t>
      </w:r>
      <w:r>
        <w:rPr>
          <w:rFonts w:ascii="Times New Roman" w:hAnsi="Times New Roman" w:eastAsia="仿宋_GB2312"/>
          <w:sz w:val="32"/>
          <w:szCs w:val="32"/>
          <w:lang w:eastAsia="zh-Hans"/>
        </w:rPr>
        <w:t>。</w:t>
      </w:r>
    </w:p>
    <w:p>
      <w:pPr>
        <w:pStyle w:val="6"/>
        <w:spacing w:beforeAutospacing="0" w:afterAutospacing="0" w:line="600" w:lineRule="exact"/>
        <w:ind w:firstLine="640" w:firstLineChars="200"/>
        <w:jc w:val="both"/>
        <w:rPr>
          <w:rFonts w:ascii="Times New Roman" w:hAnsi="Times New Roman" w:eastAsia="仿宋_GB2312"/>
          <w:sz w:val="32"/>
          <w:szCs w:val="32"/>
          <w:lang w:eastAsia="zh-Hans"/>
        </w:rPr>
      </w:pPr>
      <w:r>
        <w:rPr>
          <w:rFonts w:hint="eastAsia" w:ascii="Times New Roman" w:hAnsi="Times New Roman" w:eastAsia="仿宋"/>
          <w:sz w:val="32"/>
          <w:szCs w:val="32"/>
          <w:shd w:val="clear" w:color="auto" w:fill="FFFFFF"/>
          <w:lang w:val="en-US" w:eastAsia="zh-CN"/>
        </w:rPr>
        <w:t>五、</w:t>
      </w:r>
      <w:r>
        <w:rPr>
          <w:rFonts w:ascii="Times New Roman" w:hAnsi="Times New Roman" w:eastAsia="仿宋_GB2312"/>
          <w:sz w:val="32"/>
          <w:szCs w:val="32"/>
          <w:lang w:eastAsia="zh-Hans"/>
        </w:rPr>
        <w:t>各省级教育行政部门、国家开放大学、全国高等教育自学考试指导委员会要将本地区（系统）2025年专业设置管理有关工作情况形成工作报告，文档电子版和加盖公章后的PDF电子版在</w:t>
      </w:r>
      <w:r>
        <w:rPr>
          <w:rFonts w:hint="eastAsia" w:ascii="Times New Roman" w:hAnsi="Times New Roman" w:eastAsia="仿宋_GB2312"/>
          <w:sz w:val="32"/>
          <w:szCs w:val="32"/>
          <w:lang w:val="en-US" w:eastAsia="zh-CN"/>
        </w:rPr>
        <w:t>4</w:t>
      </w:r>
      <w:r>
        <w:rPr>
          <w:rFonts w:ascii="Times New Roman" w:hAnsi="Times New Roman" w:eastAsia="仿宋_GB2312"/>
          <w:sz w:val="32"/>
          <w:szCs w:val="32"/>
          <w:lang w:eastAsia="zh-Hans"/>
        </w:rPr>
        <w:t>月</w:t>
      </w:r>
      <w:r>
        <w:rPr>
          <w:rFonts w:hint="eastAsia" w:ascii="Times New Roman" w:hAnsi="Times New Roman" w:eastAsia="仿宋_GB2312"/>
          <w:sz w:val="32"/>
          <w:szCs w:val="32"/>
          <w:lang w:val="en-US" w:eastAsia="zh-CN"/>
        </w:rPr>
        <w:t>10</w:t>
      </w:r>
      <w:r>
        <w:rPr>
          <w:rFonts w:ascii="Times New Roman" w:hAnsi="Times New Roman" w:eastAsia="仿宋_GB2312"/>
          <w:sz w:val="32"/>
          <w:szCs w:val="32"/>
          <w:lang w:eastAsia="zh-Hans"/>
        </w:rPr>
        <w:t>日前</w:t>
      </w:r>
      <w:r>
        <w:rPr>
          <w:rFonts w:hint="eastAsia" w:ascii="Times New Roman" w:hAnsi="Times New Roman" w:eastAsia="仿宋_GB2312"/>
          <w:sz w:val="32"/>
          <w:szCs w:val="32"/>
          <w:lang w:val="en-US" w:eastAsia="zh-CN"/>
        </w:rPr>
        <w:t>上传至平台，同时</w:t>
      </w:r>
      <w:r>
        <w:rPr>
          <w:rFonts w:ascii="Times New Roman" w:hAnsi="Times New Roman" w:eastAsia="仿宋_GB2312"/>
          <w:sz w:val="32"/>
          <w:szCs w:val="32"/>
          <w:lang w:eastAsia="zh-Hans"/>
        </w:rPr>
        <w:t>发送至邮箱dce@moe.edu.cn。</w:t>
      </w:r>
    </w:p>
    <w:p>
      <w:pPr>
        <w:pStyle w:val="6"/>
        <w:spacing w:beforeAutospacing="0" w:afterAutospacing="0" w:line="600" w:lineRule="exact"/>
        <w:ind w:firstLine="640" w:firstLineChars="200"/>
        <w:jc w:val="both"/>
        <w:rPr>
          <w:rFonts w:ascii="Times New Roman" w:hAnsi="Times New Roman" w:eastAsia="仿宋_GB2312"/>
          <w:sz w:val="32"/>
          <w:szCs w:val="32"/>
          <w:lang w:eastAsia="zh-Hans"/>
        </w:rPr>
      </w:pPr>
      <w:r>
        <w:rPr>
          <w:rFonts w:hint="eastAsia" w:ascii="Times New Roman" w:hAnsi="Times New Roman" w:eastAsia="仿宋"/>
          <w:sz w:val="32"/>
          <w:szCs w:val="32"/>
          <w:shd w:val="clear" w:color="auto" w:fill="FFFFFF"/>
          <w:lang w:val="en-US" w:eastAsia="zh-CN"/>
        </w:rPr>
        <w:t>六、</w:t>
      </w:r>
      <w:r>
        <w:rPr>
          <w:rFonts w:ascii="Times New Roman" w:hAnsi="Times New Roman" w:eastAsia="仿宋_GB2312"/>
          <w:sz w:val="32"/>
          <w:szCs w:val="32"/>
          <w:lang w:eastAsia="zh-Hans"/>
        </w:rPr>
        <w:t>教育部将对各地各校上报的专业信息汇总并在信息管理系统提供查询，备案结果将与教育部成人高校招生来源计划管理系统、校外教学点填报备案管理系统对接。</w:t>
      </w:r>
    </w:p>
    <w:p>
      <w:pPr>
        <w:pStyle w:val="6"/>
        <w:spacing w:beforeAutospacing="0" w:afterAutospacing="0" w:line="600" w:lineRule="exact"/>
        <w:ind w:firstLine="640" w:firstLineChars="200"/>
        <w:jc w:val="both"/>
        <w:rPr>
          <w:rFonts w:hint="default"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七、以上材料无需寄送纸质版。</w:t>
      </w:r>
    </w:p>
    <w:p>
      <w:pPr>
        <w:pStyle w:val="6"/>
        <w:spacing w:beforeAutospacing="0" w:afterAutospacing="0" w:line="600" w:lineRule="exact"/>
        <w:ind w:firstLine="640" w:firstLineChars="200"/>
        <w:jc w:val="both"/>
        <w:rPr>
          <w:rFonts w:ascii="Times New Roman" w:hAnsi="Times New Roman" w:eastAsia="仿宋"/>
          <w:sz w:val="32"/>
          <w:szCs w:val="32"/>
          <w:shd w:val="clear" w:color="auto" w:fill="FFFFFF"/>
          <w:lang w:eastAsia="zh-Hans"/>
        </w:rPr>
        <w:sectPr>
          <w:headerReference r:id="rId3" w:type="default"/>
          <w:footerReference r:id="rId4" w:type="default"/>
          <w:pgSz w:w="11906" w:h="16838"/>
          <w:pgMar w:top="1440" w:right="1803" w:bottom="1440" w:left="1803" w:header="851" w:footer="1247" w:gutter="0"/>
          <w:pgNumType w:fmt="decimal" w:start="1"/>
          <w:cols w:space="0" w:num="1"/>
          <w:docGrid w:type="lines" w:linePitch="319" w:charSpace="0"/>
        </w:sectPr>
      </w:pPr>
    </w:p>
    <w:p>
      <w:pPr>
        <w:pStyle w:val="6"/>
        <w:spacing w:beforeAutospacing="0" w:afterAutospacing="0" w:line="600" w:lineRule="exact"/>
        <w:jc w:val="both"/>
        <w:rPr>
          <w:rFonts w:hint="eastAsia" w:ascii="Times New Roman" w:hAnsi="Times New Roman" w:eastAsia="黑体"/>
          <w:sz w:val="32"/>
          <w:szCs w:val="32"/>
          <w:shd w:val="clear" w:color="auto" w:fill="FFFFFF"/>
          <w:lang w:eastAsia="zh-CN"/>
        </w:rPr>
      </w:pPr>
      <w:r>
        <w:rPr>
          <w:rFonts w:ascii="Times New Roman" w:hAnsi="Times New Roman" w:eastAsia="黑体"/>
          <w:sz w:val="32"/>
          <w:szCs w:val="32"/>
          <w:shd w:val="clear" w:color="auto" w:fill="FFFFFF"/>
        </w:rPr>
        <w:t>附</w:t>
      </w:r>
      <w:r>
        <w:rPr>
          <w:rFonts w:hint="eastAsia" w:ascii="Times New Roman" w:hAnsi="Times New Roman" w:eastAsia="黑体"/>
          <w:sz w:val="32"/>
          <w:szCs w:val="32"/>
          <w:shd w:val="clear" w:color="auto" w:fill="FFFFFF"/>
          <w:lang w:val="en-US" w:eastAsia="zh-CN"/>
        </w:rPr>
        <w:t>4</w:t>
      </w:r>
    </w:p>
    <w:p>
      <w:pPr>
        <w:pStyle w:val="6"/>
        <w:spacing w:beforeAutospacing="0" w:afterAutospacing="0" w:line="600" w:lineRule="exact"/>
        <w:jc w:val="both"/>
        <w:rPr>
          <w:rFonts w:ascii="Times New Roman" w:hAnsi="Times New Roman" w:eastAsia="仿宋"/>
          <w:sz w:val="32"/>
          <w:szCs w:val="32"/>
          <w:shd w:val="clear" w:color="auto" w:fill="FFFFFF"/>
        </w:rPr>
      </w:pPr>
    </w:p>
    <w:p>
      <w:pPr>
        <w:pStyle w:val="6"/>
        <w:spacing w:beforeAutospacing="0" w:afterAutospacing="0" w:line="600" w:lineRule="exact"/>
        <w:jc w:val="center"/>
        <w:rPr>
          <w:rFonts w:ascii="Times New Roman" w:hAnsi="Times New Roman" w:eastAsia="方正小标宋简体"/>
          <w:sz w:val="44"/>
          <w:szCs w:val="44"/>
          <w:shd w:val="clear" w:color="auto" w:fill="FFFFFF"/>
        </w:rPr>
      </w:pPr>
      <w:r>
        <w:rPr>
          <w:rFonts w:ascii="Times New Roman" w:hAnsi="Times New Roman" w:eastAsia="方正小标宋简体"/>
          <w:sz w:val="44"/>
          <w:szCs w:val="44"/>
          <w:shd w:val="clear" w:color="auto" w:fill="FFFFFF"/>
        </w:rPr>
        <w:t>校外教学点设置</w:t>
      </w:r>
      <w:r>
        <w:rPr>
          <w:rFonts w:hint="eastAsia" w:ascii="Times New Roman" w:hAnsi="Times New Roman" w:eastAsia="方正小标宋简体"/>
          <w:sz w:val="44"/>
          <w:szCs w:val="44"/>
          <w:shd w:val="clear" w:color="auto" w:fill="FFFFFF"/>
          <w:lang w:val="en-US" w:eastAsia="zh-CN"/>
        </w:rPr>
        <w:t>管理</w:t>
      </w:r>
      <w:r>
        <w:rPr>
          <w:rFonts w:ascii="Times New Roman" w:hAnsi="Times New Roman" w:eastAsia="方正小标宋简体"/>
          <w:sz w:val="44"/>
          <w:szCs w:val="44"/>
          <w:shd w:val="clear" w:color="auto" w:fill="FFFFFF"/>
        </w:rPr>
        <w:t>工作</w:t>
      </w:r>
      <w:r>
        <w:rPr>
          <w:rFonts w:hint="eastAsia" w:ascii="Times New Roman" w:hAnsi="Times New Roman" w:eastAsia="方正小标宋简体"/>
          <w:sz w:val="44"/>
          <w:szCs w:val="44"/>
          <w:shd w:val="clear" w:color="auto" w:fill="FFFFFF"/>
          <w:lang w:val="en-US" w:eastAsia="zh-CN"/>
        </w:rPr>
        <w:t>具体安排</w:t>
      </w:r>
    </w:p>
    <w:p>
      <w:pPr>
        <w:pStyle w:val="6"/>
        <w:spacing w:beforeAutospacing="0" w:afterAutospacing="0" w:line="600" w:lineRule="exact"/>
        <w:ind w:firstLine="4840" w:firstLineChars="1100"/>
        <w:jc w:val="both"/>
        <w:rPr>
          <w:rFonts w:ascii="Times New Roman" w:hAnsi="Times New Roman" w:eastAsia="方正小标宋简体"/>
          <w:sz w:val="44"/>
          <w:szCs w:val="44"/>
          <w:shd w:val="clear" w:color="auto" w:fill="FFFFFF"/>
        </w:rPr>
      </w:pPr>
    </w:p>
    <w:p>
      <w:pPr>
        <w:pStyle w:val="6"/>
        <w:numPr>
          <w:ilvl w:val="255"/>
          <w:numId w:val="0"/>
        </w:numPr>
        <w:spacing w:beforeAutospacing="0" w:afterAutospacing="0" w:line="600" w:lineRule="exact"/>
        <w:ind w:firstLine="640" w:firstLineChars="200"/>
        <w:jc w:val="both"/>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一、高校填报</w:t>
      </w:r>
    </w:p>
    <w:p>
      <w:pPr>
        <w:pStyle w:val="6"/>
        <w:numPr>
          <w:ilvl w:val="255"/>
          <w:numId w:val="0"/>
        </w:numPr>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高校在对校外教学点充分论证和</w:t>
      </w:r>
      <w:r>
        <w:rPr>
          <w:rFonts w:hint="eastAsia" w:ascii="Times New Roman" w:hAnsi="Times New Roman" w:eastAsia="仿宋_GB2312"/>
          <w:sz w:val="32"/>
          <w:szCs w:val="32"/>
          <w:shd w:val="clear" w:color="auto" w:fill="FFFFFF"/>
          <w:lang w:val="en-US" w:eastAsia="zh-CN"/>
        </w:rPr>
        <w:t>实地</w:t>
      </w:r>
      <w:r>
        <w:rPr>
          <w:rFonts w:ascii="Times New Roman" w:hAnsi="Times New Roman" w:eastAsia="仿宋_GB2312"/>
          <w:sz w:val="32"/>
          <w:szCs w:val="32"/>
          <w:shd w:val="clear" w:color="auto" w:fill="FFFFFF"/>
        </w:rPr>
        <w:t>考察基础上，经学校党委（常委）委会或校长办公会审议、面向社会公示无异议后，于2025年</w:t>
      </w:r>
      <w:r>
        <w:rPr>
          <w:rFonts w:hint="eastAsia" w:ascii="Times New Roman" w:hAnsi="Times New Roman" w:eastAsia="仿宋_GB2312"/>
          <w:sz w:val="32"/>
          <w:szCs w:val="32"/>
          <w:shd w:val="clear" w:color="auto" w:fill="FFFFFF"/>
          <w:lang w:val="en-US" w:eastAsia="zh-CN"/>
        </w:rPr>
        <w:t>3</w:t>
      </w:r>
      <w:r>
        <w:rPr>
          <w:rFonts w:ascii="Times New Roman" w:hAnsi="Times New Roman" w:eastAsia="仿宋_GB2312"/>
          <w:sz w:val="32"/>
          <w:szCs w:val="32"/>
          <w:shd w:val="clear" w:color="auto" w:fill="FFFFFF"/>
        </w:rPr>
        <w:t>月</w:t>
      </w:r>
      <w:r>
        <w:rPr>
          <w:rFonts w:hint="eastAsia" w:ascii="Times New Roman" w:hAnsi="Times New Roman" w:eastAsia="仿宋_GB2312"/>
          <w:sz w:val="32"/>
          <w:szCs w:val="32"/>
          <w:shd w:val="clear" w:color="auto" w:fill="FFFFFF"/>
          <w:lang w:val="en-US" w:eastAsia="zh-CN"/>
        </w:rPr>
        <w:t>10</w:t>
      </w:r>
      <w:r>
        <w:rPr>
          <w:rFonts w:ascii="Times New Roman" w:hAnsi="Times New Roman" w:eastAsia="仿宋_GB2312"/>
          <w:sz w:val="32"/>
          <w:szCs w:val="32"/>
          <w:shd w:val="clear" w:color="auto" w:fill="FFFFFF"/>
        </w:rPr>
        <w:t>日前向拟设点单位所在地省级教育行政部门提交新增校外教学点</w:t>
      </w:r>
      <w:r>
        <w:rPr>
          <w:rFonts w:hint="default" w:ascii="Times New Roman" w:hAnsi="Times New Roman" w:eastAsia="仿宋_GB2312"/>
          <w:sz w:val="32"/>
          <w:szCs w:val="32"/>
          <w:shd w:val="clear" w:color="auto" w:fill="FFFFFF"/>
          <w:lang w:val="en-US"/>
        </w:rPr>
        <w:t>备案</w:t>
      </w:r>
      <w:r>
        <w:rPr>
          <w:rFonts w:ascii="Times New Roman" w:hAnsi="Times New Roman" w:eastAsia="仿宋_GB2312"/>
          <w:sz w:val="32"/>
          <w:szCs w:val="32"/>
          <w:shd w:val="clear" w:color="auto" w:fill="FFFFFF"/>
        </w:rPr>
        <w:t>材料，并在系统填报有关信息。</w:t>
      </w:r>
    </w:p>
    <w:p>
      <w:pPr>
        <w:pStyle w:val="6"/>
        <w:numPr>
          <w:ilvl w:val="255"/>
          <w:numId w:val="0"/>
        </w:numPr>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（一）往年已备案的校外教学点可选择“保留”“停招”或“撤销”。选择“保留”的校外教学点按本年度实际情况更新备案表有关信息，</w:t>
      </w:r>
      <w:r>
        <w:rPr>
          <w:rFonts w:hint="eastAsia" w:ascii="Times New Roman" w:hAnsi="Times New Roman" w:eastAsia="仿宋_GB2312"/>
          <w:sz w:val="32"/>
          <w:szCs w:val="32"/>
          <w:shd w:val="clear" w:color="auto" w:fill="FFFFFF"/>
          <w:lang w:val="en-US" w:eastAsia="zh-CN"/>
        </w:rPr>
        <w:t>并提交盖章的备案表扫描件，</w:t>
      </w:r>
      <w:r>
        <w:rPr>
          <w:rFonts w:ascii="Times New Roman" w:hAnsi="Times New Roman" w:eastAsia="仿宋_GB2312"/>
          <w:sz w:val="32"/>
          <w:szCs w:val="32"/>
          <w:shd w:val="clear" w:color="auto" w:fill="FFFFFF"/>
        </w:rPr>
        <w:t>设点单位重要信息发生变更的，须按照“新增”校外教学点要求重新备案；往年已备案校外教学点若新</w:t>
      </w:r>
      <w:r>
        <w:rPr>
          <w:rFonts w:hint="eastAsia" w:ascii="Times New Roman" w:hAnsi="Times New Roman" w:eastAsia="仿宋_GB2312"/>
          <w:sz w:val="32"/>
          <w:szCs w:val="32"/>
          <w:shd w:val="clear" w:color="auto" w:fill="FFFFFF"/>
          <w:lang w:val="en-US" w:eastAsia="zh-CN"/>
        </w:rPr>
        <w:t>承接</w:t>
      </w:r>
      <w:r>
        <w:rPr>
          <w:rFonts w:ascii="Times New Roman" w:hAnsi="Times New Roman" w:eastAsia="仿宋_GB2312"/>
          <w:sz w:val="32"/>
          <w:szCs w:val="32"/>
          <w:shd w:val="clear" w:color="auto" w:fill="FFFFFF"/>
        </w:rPr>
        <w:t>医学类、艺术类、外语类专业</w:t>
      </w:r>
      <w:r>
        <w:rPr>
          <w:rFonts w:hint="eastAsia" w:ascii="Times New Roman" w:hAnsi="Times New Roman" w:eastAsia="仿宋_GB2312"/>
          <w:sz w:val="32"/>
          <w:szCs w:val="32"/>
          <w:shd w:val="clear" w:color="auto" w:fill="FFFFFF"/>
          <w:lang w:val="en-US" w:eastAsia="zh-CN"/>
        </w:rPr>
        <w:t>学习支持服务的</w:t>
      </w:r>
      <w:r>
        <w:rPr>
          <w:rFonts w:ascii="Times New Roman" w:hAnsi="Times New Roman" w:eastAsia="仿宋_GB2312"/>
          <w:sz w:val="32"/>
          <w:szCs w:val="32"/>
          <w:shd w:val="clear" w:color="auto" w:fill="FFFFFF"/>
        </w:rPr>
        <w:t>，须按照“新增”校外教学点进行备案。</w:t>
      </w:r>
      <w:bookmarkStart w:id="1" w:name="OLE_LINK1"/>
      <w:r>
        <w:rPr>
          <w:rFonts w:ascii="Times New Roman" w:hAnsi="Times New Roman" w:eastAsia="仿宋_GB2312"/>
          <w:sz w:val="32"/>
          <w:szCs w:val="32"/>
          <w:shd w:val="clear" w:color="auto" w:fill="FFFFFF"/>
        </w:rPr>
        <w:t>选择“停招”的校外教学点须注明原因</w:t>
      </w:r>
      <w:r>
        <w:rPr>
          <w:rFonts w:hint="eastAsia" w:ascii="Times New Roman" w:hAnsi="Times New Roman" w:eastAsia="仿宋_GB2312"/>
          <w:sz w:val="32"/>
          <w:szCs w:val="32"/>
          <w:shd w:val="clear" w:color="auto" w:fill="FFFFFF"/>
          <w:lang w:eastAsia="zh-CN"/>
        </w:rPr>
        <w:t>、</w:t>
      </w:r>
      <w:r>
        <w:rPr>
          <w:rFonts w:hint="eastAsia" w:ascii="Times New Roman" w:hAnsi="Times New Roman" w:eastAsia="仿宋_GB2312"/>
          <w:sz w:val="32"/>
          <w:szCs w:val="32"/>
          <w:shd w:val="clear" w:color="auto" w:fill="FFFFFF"/>
          <w:lang w:val="en-US" w:eastAsia="zh-CN"/>
        </w:rPr>
        <w:t>停招期限</w:t>
      </w:r>
      <w:r>
        <w:rPr>
          <w:rFonts w:ascii="Times New Roman" w:hAnsi="Times New Roman" w:eastAsia="仿宋_GB2312"/>
          <w:sz w:val="32"/>
          <w:szCs w:val="32"/>
          <w:shd w:val="clear" w:color="auto" w:fill="FFFFFF"/>
        </w:rPr>
        <w:t>并登记现有在籍生人数。</w:t>
      </w:r>
      <w:bookmarkEnd w:id="1"/>
      <w:r>
        <w:rPr>
          <w:rFonts w:ascii="Times New Roman" w:hAnsi="Times New Roman" w:eastAsia="仿宋_GB2312"/>
          <w:sz w:val="32"/>
          <w:szCs w:val="32"/>
          <w:shd w:val="clear" w:color="auto" w:fill="FFFFFF"/>
        </w:rPr>
        <w:t>若所有在籍生已培养完毕或由于其他原因需要撤销的校外教学点，可选择“撤销”登记备案，并提交说明材料。</w:t>
      </w:r>
    </w:p>
    <w:p>
      <w:pPr>
        <w:pStyle w:val="6"/>
        <w:numPr>
          <w:ilvl w:val="255"/>
          <w:numId w:val="0"/>
        </w:numPr>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（二）新设校外教学点须选择“新增”，并按照《教育部办公厅关于严格规范高等学历继续教育校外教学点设置与管理工作的通知》要求进行备案。</w:t>
      </w:r>
    </w:p>
    <w:p>
      <w:pPr>
        <w:pStyle w:val="6"/>
        <w:spacing w:beforeAutospacing="0" w:afterAutospacing="0" w:line="600" w:lineRule="exact"/>
        <w:ind w:firstLine="640" w:firstLineChars="200"/>
        <w:jc w:val="both"/>
        <w:rPr>
          <w:rFonts w:ascii="Times New Roman" w:hAnsi="Times New Roman" w:eastAsia="黑体"/>
          <w:sz w:val="32"/>
          <w:szCs w:val="32"/>
          <w:shd w:val="clear" w:color="auto" w:fill="FFFFFF"/>
        </w:rPr>
      </w:pPr>
    </w:p>
    <w:p>
      <w:pPr>
        <w:pStyle w:val="6"/>
        <w:spacing w:beforeAutospacing="0" w:afterAutospacing="0" w:line="600" w:lineRule="exact"/>
        <w:ind w:firstLine="640" w:firstLineChars="200"/>
        <w:jc w:val="both"/>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二、省级</w:t>
      </w:r>
      <w:r>
        <w:rPr>
          <w:rFonts w:hint="eastAsia" w:ascii="Times New Roman" w:hAnsi="Times New Roman" w:eastAsia="黑体"/>
          <w:sz w:val="32"/>
          <w:szCs w:val="32"/>
          <w:shd w:val="clear" w:color="auto" w:fill="FFFFFF"/>
          <w:lang w:val="en-US" w:eastAsia="zh-CN"/>
        </w:rPr>
        <w:t>复核</w:t>
      </w:r>
    </w:p>
    <w:p>
      <w:pPr>
        <w:pStyle w:val="6"/>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hint="default" w:ascii="Times New Roman" w:hAnsi="Times New Roman" w:eastAsia="仿宋_GB2312"/>
          <w:sz w:val="32"/>
          <w:szCs w:val="32"/>
          <w:shd w:val="clear" w:color="auto" w:fill="FFFFFF"/>
          <w:lang w:val="en-US" w:eastAsia="zh-CN"/>
        </w:rPr>
        <w:t>拟跨省设置校外教学点的地方高校所在地省级教育行政部门应于3月31日前向校外教学点所在地省级教育行政部门提交备案申请</w:t>
      </w:r>
      <w:r>
        <w:rPr>
          <w:rFonts w:hint="eastAsia" w:ascii="Times New Roman" w:hAnsi="Times New Roman" w:eastAsia="仿宋_GB2312"/>
          <w:sz w:val="32"/>
          <w:szCs w:val="32"/>
          <w:shd w:val="clear" w:color="auto" w:fill="FFFFFF"/>
          <w:lang w:val="en-US" w:eastAsia="zh-CN"/>
        </w:rPr>
        <w:t>。校外教学点所在地省级教育行政部门</w:t>
      </w:r>
      <w:r>
        <w:rPr>
          <w:rFonts w:hint="default" w:ascii="Times New Roman" w:hAnsi="Times New Roman" w:eastAsia="仿宋_GB2312"/>
          <w:sz w:val="32"/>
          <w:szCs w:val="32"/>
          <w:highlight w:val="none"/>
          <w:shd w:val="clear" w:color="auto" w:fill="FFFFFF"/>
          <w:lang w:val="en-US" w:eastAsia="zh-CN"/>
        </w:rPr>
        <w:t>不得在3月31日前设置</w:t>
      </w:r>
      <w:r>
        <w:rPr>
          <w:rFonts w:hint="default" w:ascii="Times New Roman" w:hAnsi="Times New Roman" w:eastAsia="仿宋_GB2312"/>
          <w:sz w:val="32"/>
          <w:szCs w:val="32"/>
          <w:shd w:val="clear" w:color="auto" w:fill="FFFFFF"/>
          <w:lang w:val="en-US" w:eastAsia="zh-CN"/>
        </w:rPr>
        <w:t>外地校外教学点接收截止时间，</w:t>
      </w:r>
      <w:r>
        <w:rPr>
          <w:rFonts w:hint="eastAsia" w:ascii="Times New Roman" w:hAnsi="Times New Roman" w:eastAsia="仿宋_GB2312"/>
          <w:sz w:val="32"/>
          <w:szCs w:val="32"/>
          <w:shd w:val="clear" w:color="auto" w:fill="FFFFFF"/>
          <w:lang w:val="en-US" w:eastAsia="zh-CN"/>
        </w:rPr>
        <w:t>并</w:t>
      </w:r>
      <w:r>
        <w:rPr>
          <w:rFonts w:hint="default" w:ascii="Times New Roman" w:hAnsi="Times New Roman" w:eastAsia="仿宋_GB2312"/>
          <w:sz w:val="32"/>
          <w:szCs w:val="32"/>
          <w:shd w:val="clear" w:color="auto" w:fill="FFFFFF"/>
          <w:lang w:val="en-US" w:eastAsia="zh-CN"/>
        </w:rPr>
        <w:t>应</w:t>
      </w:r>
      <w:r>
        <w:rPr>
          <w:rFonts w:hint="eastAsia" w:ascii="Times New Roman" w:hAnsi="Times New Roman" w:eastAsia="仿宋_GB2312"/>
          <w:sz w:val="32"/>
          <w:szCs w:val="32"/>
          <w:shd w:val="clear" w:color="auto" w:fill="FFFFFF"/>
          <w:lang w:val="en-US" w:eastAsia="zh-CN"/>
        </w:rPr>
        <w:t>于</w:t>
      </w:r>
      <w:r>
        <w:rPr>
          <w:rFonts w:hint="default" w:ascii="Times New Roman" w:hAnsi="Times New Roman" w:eastAsia="仿宋_GB2312"/>
          <w:sz w:val="32"/>
          <w:szCs w:val="32"/>
          <w:shd w:val="clear" w:color="auto" w:fill="FFFFFF"/>
          <w:lang w:val="en-US" w:eastAsia="zh-CN"/>
        </w:rPr>
        <w:t>4</w:t>
      </w:r>
      <w:r>
        <w:rPr>
          <w:rFonts w:ascii="Times New Roman" w:hAnsi="Times New Roman" w:eastAsia="仿宋_GB2312"/>
          <w:sz w:val="32"/>
          <w:szCs w:val="32"/>
          <w:shd w:val="clear" w:color="auto" w:fill="FFFFFF"/>
        </w:rPr>
        <w:t>月</w:t>
      </w:r>
      <w:r>
        <w:rPr>
          <w:rFonts w:hint="eastAsia" w:ascii="Times New Roman" w:hAnsi="Times New Roman" w:eastAsia="仿宋_GB2312"/>
          <w:sz w:val="32"/>
          <w:szCs w:val="32"/>
          <w:shd w:val="clear" w:color="auto" w:fill="FFFFFF"/>
          <w:lang w:val="en-US" w:eastAsia="zh-CN"/>
        </w:rPr>
        <w:t>15</w:t>
      </w:r>
      <w:r>
        <w:rPr>
          <w:rFonts w:ascii="Times New Roman" w:hAnsi="Times New Roman" w:eastAsia="仿宋_GB2312"/>
          <w:sz w:val="32"/>
          <w:szCs w:val="32"/>
          <w:shd w:val="clear" w:color="auto" w:fill="FFFFFF"/>
        </w:rPr>
        <w:t>日</w:t>
      </w:r>
      <w:r>
        <w:rPr>
          <w:rFonts w:hint="default" w:ascii="Times New Roman" w:hAnsi="Times New Roman" w:eastAsia="仿宋_GB2312"/>
          <w:sz w:val="32"/>
          <w:szCs w:val="32"/>
          <w:shd w:val="clear" w:color="auto" w:fill="FFFFFF"/>
          <w:lang w:val="en-US" w:eastAsia="zh-CN"/>
        </w:rPr>
        <w:t>前</w:t>
      </w:r>
      <w:r>
        <w:rPr>
          <w:rFonts w:ascii="Times New Roman" w:hAnsi="Times New Roman" w:eastAsia="仿宋_GB2312"/>
          <w:sz w:val="32"/>
          <w:szCs w:val="32"/>
          <w:shd w:val="clear" w:color="auto" w:fill="FFFFFF"/>
        </w:rPr>
        <w:t>对</w:t>
      </w:r>
      <w:r>
        <w:rPr>
          <w:rFonts w:hint="default" w:ascii="Times New Roman" w:hAnsi="Times New Roman" w:eastAsia="仿宋_GB2312"/>
          <w:sz w:val="32"/>
          <w:szCs w:val="32"/>
          <w:shd w:val="clear" w:color="auto" w:fill="FFFFFF"/>
          <w:lang w:val="en-US" w:eastAsia="zh-CN"/>
        </w:rPr>
        <w:t>外</w:t>
      </w:r>
      <w:r>
        <w:rPr>
          <w:rFonts w:ascii="Times New Roman" w:hAnsi="Times New Roman" w:eastAsia="仿宋_GB2312"/>
          <w:sz w:val="32"/>
          <w:szCs w:val="32"/>
          <w:shd w:val="clear" w:color="auto" w:fill="FFFFFF"/>
        </w:rPr>
        <w:t>省高校拟跨省设置的校外教学点予以确认</w:t>
      </w:r>
      <w:r>
        <w:rPr>
          <w:rFonts w:hint="default" w:ascii="Times New Roman" w:hAnsi="Times New Roman" w:eastAsia="仿宋_GB2312"/>
          <w:sz w:val="32"/>
          <w:szCs w:val="32"/>
          <w:shd w:val="clear" w:color="auto" w:fill="FFFFFF"/>
          <w:lang w:val="en-US" w:eastAsia="zh-CN"/>
        </w:rPr>
        <w:t>结果</w:t>
      </w:r>
      <w:r>
        <w:rPr>
          <w:rFonts w:ascii="Times New Roman" w:hAnsi="Times New Roman" w:eastAsia="仿宋_GB2312"/>
          <w:sz w:val="32"/>
          <w:szCs w:val="32"/>
          <w:shd w:val="clear" w:color="auto" w:fill="FFFFFF"/>
        </w:rPr>
        <w:t>。</w:t>
      </w:r>
      <w:r>
        <w:rPr>
          <w:rFonts w:hint="default" w:ascii="Times New Roman" w:hAnsi="Times New Roman" w:eastAsia="仿宋_GB2312"/>
          <w:sz w:val="32"/>
          <w:szCs w:val="32"/>
          <w:shd w:val="clear" w:color="auto" w:fill="FFFFFF"/>
          <w:lang w:val="en-US" w:eastAsia="zh-CN"/>
        </w:rPr>
        <w:t>5</w:t>
      </w:r>
      <w:r>
        <w:rPr>
          <w:rFonts w:ascii="Times New Roman" w:hAnsi="Times New Roman" w:eastAsia="仿宋_GB2312"/>
          <w:sz w:val="32"/>
          <w:szCs w:val="32"/>
          <w:shd w:val="clear" w:color="auto" w:fill="FFFFFF"/>
        </w:rPr>
        <w:t>月</w:t>
      </w:r>
      <w:r>
        <w:rPr>
          <w:rFonts w:hint="default" w:ascii="Times New Roman" w:hAnsi="Times New Roman" w:eastAsia="仿宋_GB2312"/>
          <w:sz w:val="32"/>
          <w:szCs w:val="32"/>
          <w:shd w:val="clear" w:color="auto" w:fill="FFFFFF"/>
          <w:lang w:val="en-US" w:eastAsia="zh-CN"/>
        </w:rPr>
        <w:t>10</w:t>
      </w:r>
      <w:r>
        <w:rPr>
          <w:rFonts w:ascii="Times New Roman" w:hAnsi="Times New Roman" w:eastAsia="仿宋_GB2312"/>
          <w:sz w:val="32"/>
          <w:szCs w:val="32"/>
          <w:shd w:val="clear" w:color="auto" w:fill="FFFFFF"/>
        </w:rPr>
        <w:t>日前，省级教育行政部门对高校提交的材料进行</w:t>
      </w:r>
      <w:r>
        <w:rPr>
          <w:rFonts w:hint="default" w:ascii="Times New Roman" w:hAnsi="Times New Roman" w:eastAsia="仿宋_GB2312"/>
          <w:sz w:val="32"/>
          <w:szCs w:val="32"/>
          <w:shd w:val="clear" w:color="auto" w:fill="FFFFFF"/>
          <w:lang w:val="en-US" w:eastAsia="zh-CN"/>
        </w:rPr>
        <w:t>复核</w:t>
      </w:r>
      <w:r>
        <w:rPr>
          <w:rFonts w:ascii="Times New Roman" w:hAnsi="Times New Roman" w:eastAsia="仿宋_GB2312"/>
          <w:sz w:val="32"/>
          <w:szCs w:val="32"/>
          <w:shd w:val="clear" w:color="auto" w:fill="FFFFFF"/>
        </w:rPr>
        <w:t>，形成校外教学点设置</w:t>
      </w:r>
      <w:r>
        <w:rPr>
          <w:rFonts w:hint="default" w:ascii="Times New Roman" w:hAnsi="Times New Roman" w:eastAsia="仿宋_GB2312"/>
          <w:sz w:val="32"/>
          <w:szCs w:val="32"/>
          <w:shd w:val="clear" w:color="auto" w:fill="FFFFFF"/>
        </w:rPr>
        <w:t>与</w:t>
      </w:r>
      <w:r>
        <w:rPr>
          <w:rFonts w:ascii="Times New Roman" w:hAnsi="Times New Roman" w:eastAsia="仿宋_GB2312"/>
          <w:sz w:val="32"/>
          <w:szCs w:val="32"/>
          <w:shd w:val="clear" w:color="auto" w:fill="FFFFFF"/>
        </w:rPr>
        <w:t>管理工作报告</w:t>
      </w:r>
      <w:r>
        <w:rPr>
          <w:rFonts w:hint="default" w:ascii="Times New Roman" w:hAnsi="Times New Roman" w:eastAsia="仿宋_GB2312"/>
          <w:sz w:val="32"/>
          <w:szCs w:val="32"/>
          <w:highlight w:val="none"/>
          <w:shd w:val="clear" w:color="auto" w:fill="FFFFFF"/>
          <w:lang w:eastAsia="zh-CN"/>
        </w:rPr>
        <w:t>，</w:t>
      </w:r>
      <w:r>
        <w:rPr>
          <w:rFonts w:hint="default" w:ascii="Times New Roman" w:hAnsi="Times New Roman" w:eastAsia="仿宋_GB2312"/>
          <w:sz w:val="32"/>
          <w:szCs w:val="32"/>
          <w:highlight w:val="none"/>
          <w:shd w:val="clear" w:color="auto" w:fill="FFFFFF"/>
          <w:lang w:val="en-US" w:eastAsia="zh-CN"/>
        </w:rPr>
        <w:t>并提交至教育部</w:t>
      </w:r>
      <w:r>
        <w:rPr>
          <w:rFonts w:ascii="Times New Roman" w:hAnsi="Times New Roman" w:eastAsia="仿宋_GB2312"/>
          <w:sz w:val="32"/>
          <w:szCs w:val="32"/>
          <w:shd w:val="clear" w:color="auto" w:fill="FFFFFF"/>
        </w:rPr>
        <w:t>。</w:t>
      </w:r>
    </w:p>
    <w:p>
      <w:pPr>
        <w:pStyle w:val="6"/>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w:t>
      </w:r>
      <w:r>
        <w:rPr>
          <w:rFonts w:hint="eastAsia" w:ascii="Times New Roman" w:hAnsi="Times New Roman" w:eastAsia="仿宋_GB2312"/>
          <w:sz w:val="32"/>
          <w:szCs w:val="32"/>
          <w:shd w:val="clear" w:color="auto" w:fill="FFFFFF"/>
          <w:lang w:val="en-US" w:eastAsia="zh-CN"/>
        </w:rPr>
        <w:t>一</w:t>
      </w:r>
      <w:r>
        <w:rPr>
          <w:rFonts w:ascii="Times New Roman" w:hAnsi="Times New Roman" w:eastAsia="仿宋_GB2312"/>
          <w:sz w:val="32"/>
          <w:szCs w:val="32"/>
          <w:shd w:val="clear" w:color="auto" w:fill="FFFFFF"/>
        </w:rPr>
        <w:t>）省级教育行政部门要对中央部门所属高校</w:t>
      </w:r>
      <w:r>
        <w:rPr>
          <w:rFonts w:hint="eastAsia" w:ascii="Times New Roman" w:hAnsi="Times New Roman" w:eastAsia="仿宋_GB2312"/>
          <w:sz w:val="32"/>
          <w:szCs w:val="32"/>
          <w:shd w:val="clear" w:color="auto" w:fill="FFFFFF"/>
          <w:lang w:eastAsia="zh-CN"/>
        </w:rPr>
        <w:t>（</w:t>
      </w:r>
      <w:r>
        <w:rPr>
          <w:rFonts w:hint="eastAsia" w:ascii="Times New Roman" w:hAnsi="Times New Roman" w:eastAsia="仿宋_GB2312"/>
          <w:sz w:val="32"/>
          <w:szCs w:val="32"/>
          <w:shd w:val="clear" w:color="auto" w:fill="FFFFFF"/>
          <w:lang w:val="en-US" w:eastAsia="zh-CN"/>
        </w:rPr>
        <w:t>含国家开放大学</w:t>
      </w:r>
      <w:r>
        <w:rPr>
          <w:rFonts w:hint="eastAsia" w:ascii="Times New Roman" w:hAnsi="Times New Roman" w:eastAsia="仿宋_GB2312"/>
          <w:sz w:val="32"/>
          <w:szCs w:val="32"/>
          <w:shd w:val="clear" w:color="auto" w:fill="FFFFFF"/>
          <w:lang w:eastAsia="zh-CN"/>
        </w:rPr>
        <w:t>）</w:t>
      </w:r>
      <w:r>
        <w:rPr>
          <w:rFonts w:ascii="Times New Roman" w:hAnsi="Times New Roman" w:eastAsia="仿宋_GB2312"/>
          <w:sz w:val="32"/>
          <w:szCs w:val="32"/>
          <w:shd w:val="clear" w:color="auto" w:fill="FFFFFF"/>
        </w:rPr>
        <w:t>提交的材料进行</w:t>
      </w:r>
      <w:r>
        <w:rPr>
          <w:rFonts w:hint="eastAsia" w:ascii="Times New Roman" w:hAnsi="Times New Roman" w:eastAsia="仿宋_GB2312"/>
          <w:sz w:val="32"/>
          <w:szCs w:val="32"/>
          <w:shd w:val="clear" w:color="auto" w:fill="FFFFFF"/>
          <w:lang w:val="en-US" w:eastAsia="zh-CN"/>
        </w:rPr>
        <w:t>复核</w:t>
      </w:r>
      <w:r>
        <w:rPr>
          <w:rFonts w:ascii="Times New Roman" w:hAnsi="Times New Roman" w:eastAsia="仿宋_GB2312"/>
          <w:sz w:val="32"/>
          <w:szCs w:val="32"/>
          <w:shd w:val="clear" w:color="auto" w:fill="FFFFFF"/>
        </w:rPr>
        <w:t>并向教育部提出备案建议。</w:t>
      </w:r>
    </w:p>
    <w:p>
      <w:pPr>
        <w:pStyle w:val="6"/>
        <w:spacing w:beforeAutospacing="0" w:afterAutospacing="0" w:line="600" w:lineRule="exact"/>
        <w:ind w:firstLine="640" w:firstLineChars="200"/>
        <w:jc w:val="both"/>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w:t>
      </w:r>
      <w:r>
        <w:rPr>
          <w:rFonts w:hint="eastAsia" w:ascii="Times New Roman" w:hAnsi="Times New Roman" w:eastAsia="仿宋_GB2312"/>
          <w:sz w:val="32"/>
          <w:szCs w:val="32"/>
          <w:shd w:val="clear" w:color="auto" w:fill="FFFFFF"/>
          <w:lang w:val="en-US" w:eastAsia="zh-CN"/>
        </w:rPr>
        <w:t>二</w:t>
      </w:r>
      <w:r>
        <w:rPr>
          <w:rFonts w:ascii="Times New Roman" w:hAnsi="Times New Roman" w:eastAsia="仿宋_GB2312"/>
          <w:sz w:val="32"/>
          <w:szCs w:val="32"/>
          <w:shd w:val="clear" w:color="auto" w:fill="FFFFFF"/>
        </w:rPr>
        <w:t>）校外教学点</w:t>
      </w:r>
      <w:r>
        <w:rPr>
          <w:rFonts w:hint="eastAsia" w:ascii="Times New Roman" w:hAnsi="Times New Roman" w:eastAsia="仿宋_GB2312"/>
          <w:sz w:val="32"/>
          <w:szCs w:val="32"/>
          <w:shd w:val="clear" w:color="auto" w:fill="FFFFFF"/>
          <w:lang w:val="en-US" w:eastAsia="zh-CN"/>
        </w:rPr>
        <w:t>设置</w:t>
      </w:r>
      <w:r>
        <w:rPr>
          <w:rFonts w:ascii="Times New Roman" w:hAnsi="Times New Roman" w:eastAsia="仿宋_GB2312"/>
          <w:sz w:val="32"/>
          <w:szCs w:val="32"/>
          <w:shd w:val="clear" w:color="auto" w:fill="FFFFFF"/>
        </w:rPr>
        <w:t>建议及登记结果</w:t>
      </w:r>
      <w:r>
        <w:rPr>
          <w:rFonts w:hint="eastAsia" w:ascii="Times New Roman" w:hAnsi="Times New Roman" w:eastAsia="仿宋_GB2312"/>
          <w:sz w:val="32"/>
          <w:szCs w:val="32"/>
          <w:shd w:val="clear" w:color="auto" w:fill="FFFFFF"/>
          <w:lang w:eastAsia="zh-CN"/>
        </w:rPr>
        <w:t>、</w:t>
      </w:r>
      <w:r>
        <w:rPr>
          <w:rFonts w:ascii="Times New Roman" w:hAnsi="Times New Roman" w:eastAsia="仿宋_GB2312"/>
          <w:sz w:val="32"/>
          <w:szCs w:val="32"/>
          <w:shd w:val="clear" w:color="auto" w:fill="FFFFFF"/>
        </w:rPr>
        <w:t>校外教学点设置</w:t>
      </w:r>
      <w:r>
        <w:rPr>
          <w:rFonts w:hint="eastAsia" w:ascii="Times New Roman" w:hAnsi="Times New Roman" w:eastAsia="仿宋_GB2312"/>
          <w:sz w:val="32"/>
          <w:szCs w:val="32"/>
          <w:shd w:val="clear" w:color="auto" w:fill="FFFFFF"/>
        </w:rPr>
        <w:t>与</w:t>
      </w:r>
      <w:r>
        <w:rPr>
          <w:rFonts w:ascii="Times New Roman" w:hAnsi="Times New Roman" w:eastAsia="仿宋_GB2312"/>
          <w:sz w:val="32"/>
          <w:szCs w:val="32"/>
          <w:shd w:val="clear" w:color="auto" w:fill="FFFFFF"/>
        </w:rPr>
        <w:t>管理工作报告加盖省级教育行政部门公章后通过信息</w:t>
      </w:r>
      <w:r>
        <w:rPr>
          <w:rFonts w:hint="eastAsia" w:ascii="Times New Roman" w:hAnsi="Times New Roman" w:eastAsia="仿宋_GB2312"/>
          <w:sz w:val="32"/>
          <w:szCs w:val="32"/>
          <w:shd w:val="clear" w:color="auto" w:fill="FFFFFF"/>
        </w:rPr>
        <w:t>管理系统</w:t>
      </w:r>
      <w:r>
        <w:rPr>
          <w:rFonts w:ascii="Times New Roman" w:hAnsi="Times New Roman" w:eastAsia="仿宋_GB2312"/>
          <w:sz w:val="32"/>
          <w:szCs w:val="32"/>
          <w:shd w:val="clear" w:color="auto" w:fill="FFFFFF"/>
        </w:rPr>
        <w:t>提交至教育部，工作报告</w:t>
      </w:r>
      <w:r>
        <w:rPr>
          <w:rFonts w:hint="eastAsia" w:ascii="Times New Roman" w:hAnsi="Times New Roman" w:eastAsia="仿宋_GB2312"/>
          <w:sz w:val="32"/>
          <w:szCs w:val="32"/>
          <w:shd w:val="clear" w:color="auto" w:fill="FFFFFF"/>
          <w:lang w:val="en-US" w:eastAsia="zh-CN"/>
        </w:rPr>
        <w:t>须同步</w:t>
      </w:r>
      <w:r>
        <w:rPr>
          <w:rFonts w:hint="eastAsia" w:ascii="Times New Roman" w:hAnsi="Times New Roman" w:eastAsia="仿宋_GB2312"/>
          <w:sz w:val="32"/>
          <w:szCs w:val="32"/>
          <w:shd w:val="clear" w:color="auto" w:fill="FFFFFF"/>
        </w:rPr>
        <w:t>发送至</w:t>
      </w:r>
      <w:r>
        <w:rPr>
          <w:rFonts w:ascii="Times New Roman" w:hAnsi="Times New Roman" w:eastAsia="仿宋_GB2312"/>
          <w:sz w:val="32"/>
          <w:szCs w:val="32"/>
          <w:lang w:eastAsia="zh-Hans"/>
        </w:rPr>
        <w:t>邮箱dce@moe.edu.cn</w:t>
      </w:r>
      <w:r>
        <w:rPr>
          <w:rFonts w:ascii="Times New Roman" w:hAnsi="Times New Roman" w:eastAsia="仿宋_GB2312"/>
          <w:sz w:val="32"/>
          <w:szCs w:val="32"/>
          <w:shd w:val="clear" w:color="auto" w:fill="FFFFFF"/>
        </w:rPr>
        <w:t>。中央部门所属高校独立撰写校外教学点设置</w:t>
      </w:r>
      <w:r>
        <w:rPr>
          <w:rFonts w:hint="eastAsia" w:ascii="Times New Roman" w:hAnsi="Times New Roman" w:eastAsia="仿宋_GB2312"/>
          <w:sz w:val="32"/>
          <w:szCs w:val="32"/>
          <w:shd w:val="clear" w:color="auto" w:fill="FFFFFF"/>
        </w:rPr>
        <w:t>与</w:t>
      </w:r>
      <w:r>
        <w:rPr>
          <w:rFonts w:ascii="Times New Roman" w:hAnsi="Times New Roman" w:eastAsia="仿宋_GB2312"/>
          <w:sz w:val="32"/>
          <w:szCs w:val="32"/>
          <w:shd w:val="clear" w:color="auto" w:fill="FFFFFF"/>
        </w:rPr>
        <w:t>管理工作报告，于</w:t>
      </w:r>
      <w:r>
        <w:rPr>
          <w:rFonts w:hint="eastAsia" w:ascii="Times New Roman" w:hAnsi="Times New Roman" w:eastAsia="仿宋_GB2312"/>
          <w:sz w:val="32"/>
          <w:szCs w:val="32"/>
          <w:shd w:val="clear" w:color="auto" w:fill="FFFFFF"/>
          <w:lang w:val="en-US" w:eastAsia="zh-CN"/>
        </w:rPr>
        <w:t>4</w:t>
      </w:r>
      <w:r>
        <w:rPr>
          <w:rFonts w:ascii="Times New Roman" w:hAnsi="Times New Roman" w:eastAsia="仿宋_GB2312"/>
          <w:sz w:val="32"/>
          <w:szCs w:val="32"/>
          <w:shd w:val="clear" w:color="auto" w:fill="FFFFFF"/>
        </w:rPr>
        <w:t>月</w:t>
      </w:r>
      <w:r>
        <w:rPr>
          <w:rFonts w:hint="eastAsia" w:ascii="Times New Roman" w:hAnsi="Times New Roman" w:eastAsia="仿宋_GB2312"/>
          <w:sz w:val="32"/>
          <w:szCs w:val="32"/>
          <w:shd w:val="clear" w:color="auto" w:fill="FFFFFF"/>
          <w:lang w:val="en-US" w:eastAsia="zh-CN"/>
        </w:rPr>
        <w:t>20</w:t>
      </w:r>
      <w:r>
        <w:rPr>
          <w:rFonts w:ascii="Times New Roman" w:hAnsi="Times New Roman" w:eastAsia="仿宋_GB2312"/>
          <w:sz w:val="32"/>
          <w:szCs w:val="32"/>
          <w:shd w:val="clear" w:color="auto" w:fill="FFFFFF"/>
        </w:rPr>
        <w:t>日前通过信息</w:t>
      </w:r>
      <w:r>
        <w:rPr>
          <w:rFonts w:hint="eastAsia" w:ascii="Times New Roman" w:hAnsi="Times New Roman" w:eastAsia="仿宋_GB2312"/>
          <w:sz w:val="32"/>
          <w:szCs w:val="32"/>
          <w:shd w:val="clear" w:color="auto" w:fill="FFFFFF"/>
        </w:rPr>
        <w:t>管理系统</w:t>
      </w:r>
      <w:r>
        <w:rPr>
          <w:rFonts w:ascii="Times New Roman" w:hAnsi="Times New Roman" w:eastAsia="仿宋_GB2312"/>
          <w:sz w:val="32"/>
          <w:szCs w:val="32"/>
          <w:shd w:val="clear" w:color="auto" w:fill="FFFFFF"/>
        </w:rPr>
        <w:t>报送高校所在地省级教育行政部门</w:t>
      </w:r>
      <w:r>
        <w:rPr>
          <w:rFonts w:hint="eastAsia" w:ascii="Times New Roman" w:hAnsi="Times New Roman" w:eastAsia="仿宋_GB2312"/>
          <w:sz w:val="32"/>
          <w:szCs w:val="32"/>
          <w:shd w:val="clear" w:color="auto" w:fill="FFFFFF"/>
        </w:rPr>
        <w:t>，同时将加盖公章后的PDF电子版发送至</w:t>
      </w:r>
      <w:r>
        <w:rPr>
          <w:rFonts w:ascii="Times New Roman" w:hAnsi="Times New Roman" w:eastAsia="仿宋_GB2312"/>
          <w:sz w:val="32"/>
          <w:szCs w:val="32"/>
          <w:lang w:eastAsia="zh-Hans"/>
        </w:rPr>
        <w:t>邮箱dce@moe.edu.cn</w:t>
      </w:r>
      <w:r>
        <w:rPr>
          <w:rFonts w:ascii="Times New Roman" w:hAnsi="Times New Roman" w:eastAsia="仿宋_GB2312"/>
          <w:sz w:val="32"/>
          <w:szCs w:val="32"/>
          <w:shd w:val="clear" w:color="auto" w:fill="FFFFFF"/>
        </w:rPr>
        <w:t>。</w:t>
      </w:r>
    </w:p>
    <w:p>
      <w:pPr>
        <w:widowControl/>
        <w:jc w:val="left"/>
        <w:rPr>
          <w:rFonts w:hint="default"/>
        </w:rPr>
      </w:pPr>
      <w:bookmarkStart w:id="2" w:name="_GoBack"/>
      <w:bookmarkEnd w:id="2"/>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3</w:t>
                          </w:r>
                          <w:r>
                            <w:rPr>
                              <w:rFonts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Cz&#10;SVju0AAAAAUBAAAPAAAAAAAAAAEAIAAAADgAAABkcnMvZG93bnJldi54bWxQSwECFAAUAAAACACH&#10;TuJAkPadVhYCAAAZBAAADgAAAAAAAAABACAAAAA1AQAAZHJzL2Uyb0RvYy54bWxQSwUGAAAAAAYA&#10;BgBZAQAAvQUAAAAA&#10;">
              <v:fill on="f" focussize="0,0"/>
              <v:stroke on="f" weight="0.5pt"/>
              <v:imagedata o:title=""/>
              <o:lock v:ext="edit" aspectratio="f"/>
              <v:textbox inset="0mm,0mm,0mm,0mm" style="mso-fit-shape-to-text:t;">
                <w:txbxContent>
                  <w:p>
                    <w:pPr>
                      <w:pStyle w:val="4"/>
                      <w:rPr>
                        <w:rFonts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3</w:t>
                    </w:r>
                    <w:r>
                      <w:rPr>
                        <w:rFonts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ascii="Times New Roman" w:hAnsi="Times New Roman" w:cs="Times New Roman"/>
                              <w:sz w:val="28"/>
                              <w:szCs w:val="28"/>
                            </w:rPr>
                            <w:t>- 8 -</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4"/>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ascii="Times New Roman" w:hAnsi="Times New Roman" w:cs="Times New Roman"/>
                        <w:sz w:val="28"/>
                        <w:szCs w:val="28"/>
                      </w:rPr>
                      <w:t>- 8 -</w:t>
                    </w:r>
                    <w:r>
                      <w:rPr>
                        <w:rFonts w:hint="default" w:ascii="Times New Roman" w:hAnsi="Times New Roman" w:cs="Times New Roman"/>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tabs>
        <w:tab w:val="left" w:pos="2975"/>
      </w:tabs>
      <w:jc w:val="left"/>
      <w:rPr>
        <w:rFonts w:hint="eastAsia" w:eastAsiaTheme="minorEastAsia"/>
        <w:lang w:eastAsia="zh-CN"/>
      </w:rPr>
    </w:pPr>
    <w:r>
      <w:rPr>
        <w:rFonts w:hint="eastAsia"/>
        <w:lang w:eastAsia="zh-CN"/>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0ODE0NjkxNDhhMjRiMGMwZjZmNzE5NDY0YjdhZDMifQ=="/>
    <w:docVar w:name="KSO_WPS_MARK_KEY" w:val="3ac0686f-462a-499a-ac0c-f25e3a44ecb8"/>
  </w:docVars>
  <w:rsids>
    <w:rsidRoot w:val="00D45CA4"/>
    <w:rsid w:val="00114BD1"/>
    <w:rsid w:val="00122896"/>
    <w:rsid w:val="00153738"/>
    <w:rsid w:val="001B474F"/>
    <w:rsid w:val="001C2B79"/>
    <w:rsid w:val="001C50D8"/>
    <w:rsid w:val="00304056"/>
    <w:rsid w:val="0031221F"/>
    <w:rsid w:val="00365E8C"/>
    <w:rsid w:val="003C06E4"/>
    <w:rsid w:val="004111AF"/>
    <w:rsid w:val="004217D4"/>
    <w:rsid w:val="0043408C"/>
    <w:rsid w:val="0048403F"/>
    <w:rsid w:val="00515F4C"/>
    <w:rsid w:val="005B4E68"/>
    <w:rsid w:val="00644DDD"/>
    <w:rsid w:val="006832D0"/>
    <w:rsid w:val="007038BC"/>
    <w:rsid w:val="00721A0F"/>
    <w:rsid w:val="00731718"/>
    <w:rsid w:val="00752B57"/>
    <w:rsid w:val="0078702B"/>
    <w:rsid w:val="007A3406"/>
    <w:rsid w:val="007E5BE9"/>
    <w:rsid w:val="00822947"/>
    <w:rsid w:val="0089084F"/>
    <w:rsid w:val="008D1F05"/>
    <w:rsid w:val="008E2439"/>
    <w:rsid w:val="00947271"/>
    <w:rsid w:val="00953CCB"/>
    <w:rsid w:val="00A044DD"/>
    <w:rsid w:val="00A14C56"/>
    <w:rsid w:val="00AF4BE4"/>
    <w:rsid w:val="00C30F36"/>
    <w:rsid w:val="00D034D1"/>
    <w:rsid w:val="00D45CA4"/>
    <w:rsid w:val="00D87A54"/>
    <w:rsid w:val="00D90EFF"/>
    <w:rsid w:val="00DA1ED0"/>
    <w:rsid w:val="00E06C2B"/>
    <w:rsid w:val="00E46C09"/>
    <w:rsid w:val="00E912F0"/>
    <w:rsid w:val="00ED6B5A"/>
    <w:rsid w:val="00F072C3"/>
    <w:rsid w:val="00FC4AD8"/>
    <w:rsid w:val="01933180"/>
    <w:rsid w:val="025E2A2C"/>
    <w:rsid w:val="04595F07"/>
    <w:rsid w:val="052D27DB"/>
    <w:rsid w:val="058C1C12"/>
    <w:rsid w:val="06F632FD"/>
    <w:rsid w:val="09BC2286"/>
    <w:rsid w:val="0BEE59B9"/>
    <w:rsid w:val="113863B9"/>
    <w:rsid w:val="15995C85"/>
    <w:rsid w:val="19760029"/>
    <w:rsid w:val="1A6B5FDD"/>
    <w:rsid w:val="1C246216"/>
    <w:rsid w:val="1EC71AB5"/>
    <w:rsid w:val="20D34736"/>
    <w:rsid w:val="22524055"/>
    <w:rsid w:val="225855C8"/>
    <w:rsid w:val="249B08B6"/>
    <w:rsid w:val="24D10D33"/>
    <w:rsid w:val="256018E4"/>
    <w:rsid w:val="27B8643F"/>
    <w:rsid w:val="282B0D12"/>
    <w:rsid w:val="29C64D4D"/>
    <w:rsid w:val="2B942D1F"/>
    <w:rsid w:val="2BF832AE"/>
    <w:rsid w:val="2D3E6EB2"/>
    <w:rsid w:val="30D82918"/>
    <w:rsid w:val="314D19A6"/>
    <w:rsid w:val="32D00AE0"/>
    <w:rsid w:val="343B0344"/>
    <w:rsid w:val="35FA460D"/>
    <w:rsid w:val="36785717"/>
    <w:rsid w:val="37EA43F2"/>
    <w:rsid w:val="38434B79"/>
    <w:rsid w:val="3C585D9D"/>
    <w:rsid w:val="3DB17760"/>
    <w:rsid w:val="3F78195A"/>
    <w:rsid w:val="40E67721"/>
    <w:rsid w:val="41EE5385"/>
    <w:rsid w:val="420936C7"/>
    <w:rsid w:val="43150461"/>
    <w:rsid w:val="43595A87"/>
    <w:rsid w:val="43BC3416"/>
    <w:rsid w:val="44D8105D"/>
    <w:rsid w:val="44EE4DF6"/>
    <w:rsid w:val="44F04A81"/>
    <w:rsid w:val="457A19D5"/>
    <w:rsid w:val="46494F5E"/>
    <w:rsid w:val="48A473D3"/>
    <w:rsid w:val="49177011"/>
    <w:rsid w:val="4D1A0E7E"/>
    <w:rsid w:val="4DFF0074"/>
    <w:rsid w:val="4EA13DC7"/>
    <w:rsid w:val="4EE12C5F"/>
    <w:rsid w:val="5453081C"/>
    <w:rsid w:val="553D44F9"/>
    <w:rsid w:val="568B6949"/>
    <w:rsid w:val="572C2CF3"/>
    <w:rsid w:val="57404253"/>
    <w:rsid w:val="58475F55"/>
    <w:rsid w:val="5A0F3BDB"/>
    <w:rsid w:val="5BA01BE5"/>
    <w:rsid w:val="5D2D0537"/>
    <w:rsid w:val="5D5443E5"/>
    <w:rsid w:val="63265DAD"/>
    <w:rsid w:val="632E351B"/>
    <w:rsid w:val="64D8523D"/>
    <w:rsid w:val="66012783"/>
    <w:rsid w:val="6624440D"/>
    <w:rsid w:val="6648476D"/>
    <w:rsid w:val="66B5468A"/>
    <w:rsid w:val="683E3A23"/>
    <w:rsid w:val="6A6B6818"/>
    <w:rsid w:val="6AC40F66"/>
    <w:rsid w:val="6AF77442"/>
    <w:rsid w:val="7077234E"/>
    <w:rsid w:val="70B46ABE"/>
    <w:rsid w:val="71A60262"/>
    <w:rsid w:val="722577FA"/>
    <w:rsid w:val="72304D43"/>
    <w:rsid w:val="72473C14"/>
    <w:rsid w:val="73055D8C"/>
    <w:rsid w:val="736F637B"/>
    <w:rsid w:val="75153B55"/>
    <w:rsid w:val="7B455049"/>
    <w:rsid w:val="7CF369E6"/>
    <w:rsid w:val="7DB421C6"/>
    <w:rsid w:val="7FD67D2D"/>
    <w:rsid w:val="F59BA9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semiHidden/>
    <w:unhideWhenUsed/>
    <w:qFormat/>
    <w:uiPriority w:val="99"/>
    <w:pPr>
      <w:jc w:val="left"/>
    </w:p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pPr>
      <w:spacing w:beforeAutospacing="1" w:afterAutospacing="1"/>
      <w:jc w:val="left"/>
    </w:pPr>
    <w:rPr>
      <w:rFonts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22"/>
    <w:rPr>
      <w:b/>
    </w:rPr>
  </w:style>
  <w:style w:type="character" w:styleId="11">
    <w:name w:val="Hyperlink"/>
    <w:basedOn w:val="9"/>
    <w:unhideWhenUsed/>
    <w:qFormat/>
    <w:uiPriority w:val="99"/>
    <w:rPr>
      <w:color w:val="0000FF" w:themeColor="hyperlink"/>
      <w:u w:val="single"/>
      <w14:textFill>
        <w14:solidFill>
          <w14:schemeClr w14:val="hlink"/>
        </w14:solidFill>
      </w14:textFill>
    </w:rPr>
  </w:style>
  <w:style w:type="character" w:customStyle="1" w:styleId="12">
    <w:name w:val="页脚 Char"/>
    <w:basedOn w:val="9"/>
    <w:link w:val="4"/>
    <w:qFormat/>
    <w:uiPriority w:val="99"/>
    <w:rPr>
      <w:sz w:val="18"/>
      <w:szCs w:val="18"/>
    </w:rPr>
  </w:style>
  <w:style w:type="paragraph" w:customStyle="1" w:styleId="13">
    <w:name w:val="Body text|1"/>
    <w:basedOn w:val="1"/>
    <w:qFormat/>
    <w:uiPriority w:val="0"/>
    <w:pPr>
      <w:spacing w:line="377" w:lineRule="auto"/>
      <w:ind w:firstLine="400"/>
    </w:pPr>
    <w:rPr>
      <w:rFonts w:ascii="宋体" w:hAnsi="宋体" w:eastAsia="宋体" w:cs="宋体"/>
      <w:sz w:val="30"/>
      <w:szCs w:val="30"/>
      <w:lang w:val="zh-TW" w:eastAsia="zh-TW" w:bidi="zh-TW"/>
    </w:rPr>
  </w:style>
  <w:style w:type="paragraph" w:styleId="14">
    <w:name w:val="List Paragraph"/>
    <w:basedOn w:val="1"/>
    <w:qFormat/>
    <w:uiPriority w:val="34"/>
    <w:pPr>
      <w:ind w:firstLine="420" w:firstLineChars="200"/>
    </w:pPr>
  </w:style>
  <w:style w:type="character" w:customStyle="1" w:styleId="15">
    <w:name w:val="页眉 Char"/>
    <w:basedOn w:val="9"/>
    <w:link w:val="5"/>
    <w:qFormat/>
    <w:uiPriority w:val="99"/>
    <w:rPr>
      <w:sz w:val="18"/>
      <w:szCs w:val="18"/>
    </w:rPr>
  </w:style>
  <w:style w:type="character" w:customStyle="1" w:styleId="16">
    <w:name w:val="font21"/>
    <w:basedOn w:val="9"/>
    <w:qFormat/>
    <w:uiPriority w:val="0"/>
    <w:rPr>
      <w:rFonts w:hint="default" w:ascii="Times New Roman" w:hAnsi="Times New Roman" w:cs="Times New Roman"/>
      <w:b/>
      <w:color w:val="000000"/>
      <w:sz w:val="24"/>
      <w:szCs w:val="24"/>
      <w:u w:val="none"/>
    </w:rPr>
  </w:style>
  <w:style w:type="character" w:customStyle="1" w:styleId="17">
    <w:name w:val="font51"/>
    <w:basedOn w:val="9"/>
    <w:qFormat/>
    <w:uiPriority w:val="0"/>
    <w:rPr>
      <w:rFonts w:hint="eastAsia" w:ascii="宋体" w:hAnsi="宋体" w:eastAsia="宋体" w:cs="宋体"/>
      <w:b/>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12</Pages>
  <Words>3683</Words>
  <Characters>4099</Characters>
  <Lines>36</Lines>
  <Paragraphs>10</Paragraphs>
  <TotalTime>8</TotalTime>
  <ScaleCrop>false</ScaleCrop>
  <LinksUpToDate>false</LinksUpToDate>
  <CharactersWithSpaces>4157</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2024-11-23T16:31:00Z</dcterms:created>
  <dc:creator>武丽志</dc:creator>
  <cp:lastModifiedBy>uos</cp:lastModifiedBy>
  <cp:lastPrinted>2025-01-24T18:13:00Z</cp:lastPrinted>
  <dcterms:modified xsi:type="dcterms:W3CDTF">2025-02-18T11:14:36Z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B7F2EE8801FE4DE18DCDDC92F3AF64FD_13</vt:lpwstr>
  </property>
  <property fmtid="{D5CDD505-2E9C-101B-9397-08002B2CF9AE}" pid="4" name="KSOTemplateDocerSaveRecord">
    <vt:lpwstr>eyJoZGlkIjoiODVmMWNhYjI4ZGVmZWZmMzg2NjliN2NlNzc0ZTVkNTgiLCJ1c2VySWQiOiIxNjY1NDA5ODQyIn0=</vt:lpwstr>
  </property>
</Properties>
</file>