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pacing w:line="600" w:lineRule="exact"/>
        <w:ind w:right="1260" w:rightChars="600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  <w:lang w:bidi="ar"/>
        </w:rPr>
        <w:t>附件1</w:t>
      </w:r>
    </w:p>
    <w:p>
      <w:pPr>
        <w:autoSpaceDN w:val="0"/>
        <w:spacing w:line="540" w:lineRule="exact"/>
        <w:rPr>
          <w:rFonts w:hint="default" w:ascii="Times New Roman" w:hAnsi="Times New Roman" w:eastAsia="黑体" w:cs="Times New Roman"/>
          <w:kern w:val="0"/>
          <w:szCs w:val="32"/>
        </w:rPr>
      </w:pPr>
    </w:p>
    <w:p>
      <w:pPr>
        <w:autoSpaceDN w:val="0"/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2024年全省正高级职称教师推荐名额分配表</w:t>
      </w:r>
    </w:p>
    <w:tbl>
      <w:tblPr>
        <w:tblStyle w:val="3"/>
        <w:tblW w:w="8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09"/>
        <w:gridCol w:w="2703"/>
        <w:gridCol w:w="2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地  区</w:t>
            </w:r>
          </w:p>
        </w:tc>
        <w:tc>
          <w:tcPr>
            <w:tcW w:w="2703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幼儿园、中小学</w:t>
            </w:r>
          </w:p>
        </w:tc>
        <w:tc>
          <w:tcPr>
            <w:tcW w:w="2468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中职校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63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苏州市（含昆山）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76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泰州市（含泰兴）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宿迁市（含沭阳）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lang w:bidi="ar"/>
              </w:rPr>
              <w:t>省属单位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80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  <w:lang w:bidi="ar"/>
              </w:rPr>
              <w:t>合计</w:t>
            </w:r>
          </w:p>
        </w:tc>
        <w:tc>
          <w:tcPr>
            <w:tcW w:w="2703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534</w:t>
            </w:r>
          </w:p>
        </w:tc>
        <w:tc>
          <w:tcPr>
            <w:tcW w:w="246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440" w:lineRule="exact"/>
              <w:jc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73</w:t>
            </w:r>
          </w:p>
        </w:tc>
      </w:tr>
    </w:tbl>
    <w:p>
      <w:pPr>
        <w:tabs>
          <w:tab w:val="left" w:pos="3555"/>
        </w:tabs>
        <w:autoSpaceDN w:val="0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cs="Times New Roman"/>
          <w:szCs w:val="32"/>
          <w:lang w:bidi="ar"/>
        </w:rPr>
        <w:t xml:space="preserve"> </w:t>
      </w:r>
      <w:r>
        <w:rPr>
          <w:rFonts w:hint="default" w:ascii="Times New Roman" w:hAnsi="Times New Roman" w:eastAsia="黑体" w:cs="Times New Roman"/>
          <w:szCs w:val="32"/>
          <w:lang w:bidi="ar"/>
        </w:rPr>
        <w:t xml:space="preserve"> </w:t>
      </w:r>
      <w:r>
        <w:rPr>
          <w:rFonts w:hint="default" w:ascii="Times New Roman" w:hAnsi="Times New Roman" w:eastAsia="黑体" w:cs="Times New Roman"/>
          <w:sz w:val="24"/>
          <w:lang w:bidi="ar"/>
        </w:rPr>
        <w:t>注：根据</w:t>
      </w:r>
      <w:r>
        <w:rPr>
          <w:rFonts w:hint="default" w:ascii="Times New Roman" w:hAnsi="Times New Roman" w:eastAsia="黑体" w:cs="Times New Roman"/>
          <w:sz w:val="24"/>
          <w:lang w:eastAsia="zh-CN" w:bidi="ar"/>
        </w:rPr>
        <w:t>“</w:t>
      </w:r>
      <w:r>
        <w:rPr>
          <w:rFonts w:hint="default" w:ascii="Times New Roman" w:hAnsi="Times New Roman" w:eastAsia="黑体" w:cs="Times New Roman"/>
          <w:sz w:val="24"/>
          <w:lang w:bidi="ar"/>
        </w:rPr>
        <w:t>江苏省中小学教职工信息管理系统</w:t>
      </w:r>
      <w:r>
        <w:rPr>
          <w:rFonts w:hint="default" w:ascii="Times New Roman" w:hAnsi="Times New Roman" w:eastAsia="黑体" w:cs="Times New Roman"/>
          <w:sz w:val="24"/>
          <w:lang w:eastAsia="zh-CN" w:bidi="ar"/>
        </w:rPr>
        <w:t>”</w:t>
      </w:r>
      <w:r>
        <w:rPr>
          <w:rFonts w:hint="default" w:ascii="Times New Roman" w:hAnsi="Times New Roman" w:eastAsia="黑体" w:cs="Times New Roman"/>
          <w:sz w:val="24"/>
          <w:lang w:bidi="ar"/>
        </w:rPr>
        <w:t>（截至2024年4月1日）各设区市更新的专任教师总数测算分配。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eastAsia" w:ascii="宋体" w:hAnsi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23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9iC+ss0BAACnAwAADgAAAAAAAAABACAAAAAe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23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ascii="宋体" w:hAnsi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33985" cy="19177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3985" cy="1917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1pt;width:10.5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GKwjfdIAAAADAQAADwAAAAAAAAAB&#10;ACAAAAAiAAAAZHJzL2Rvd25yZXYueG1sUEsBAhQAFAAAAAgAh07iQJRWusXdAQAArgMAAA4AAAAA&#10;AAAAAQAgAAAAIQEAAGRycy9lMm9Eb2MueG1sUEsFBgAAAAAGAAYAWQEAAH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2E15C5"/>
    <w:rsid w:val="3BF9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2024-05-24T02:05:47Z</dcterms:created>
  <dc:creator>huawei</dc:creator>
  <cp:lastModifiedBy>huawei</cp:lastModifiedBy>
  <dcterms:modified xsi:type="dcterms:W3CDTF">2024-05-24T02:07:38Z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64BC6B0AD4034DE288E8256F8A1634AB</vt:lpwstr>
  </property>
</Properties>
</file>