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0196" w:rsidRDefault="00020196" w:rsidP="00020196">
      <w:pPr>
        <w:adjustRightInd w:val="0"/>
        <w:snapToGrid w:val="0"/>
        <w:spacing w:line="560" w:lineRule="exact"/>
        <w:rPr>
          <w:rFonts w:eastAsia="黑体"/>
          <w:sz w:val="32"/>
          <w:szCs w:val="32"/>
        </w:rPr>
      </w:pPr>
      <w:r>
        <w:rPr>
          <w:rFonts w:eastAsia="黑体"/>
          <w:sz w:val="32"/>
          <w:szCs w:val="32"/>
        </w:rPr>
        <w:t>附件</w:t>
      </w:r>
      <w:r>
        <w:rPr>
          <w:rFonts w:eastAsia="黑体"/>
          <w:sz w:val="32"/>
          <w:szCs w:val="32"/>
        </w:rPr>
        <w:t>5</w:t>
      </w:r>
    </w:p>
    <w:p w:rsidR="00020196" w:rsidRDefault="00020196" w:rsidP="00020196">
      <w:pPr>
        <w:adjustRightInd w:val="0"/>
        <w:snapToGrid w:val="0"/>
        <w:spacing w:line="560" w:lineRule="exact"/>
        <w:rPr>
          <w:rFonts w:eastAsia="黑体"/>
          <w:sz w:val="32"/>
          <w:szCs w:val="32"/>
        </w:rPr>
      </w:pP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w:t>
      </w:r>
      <w:r>
        <w:rPr>
          <w:rFonts w:eastAsia="方正小标宋简体"/>
          <w:w w:val="90"/>
          <w:sz w:val="44"/>
          <w:szCs w:val="44"/>
        </w:rPr>
        <w:t>建行杯</w:t>
      </w:r>
      <w:r>
        <w:rPr>
          <w:rFonts w:eastAsia="方正小标宋简体"/>
          <w:w w:val="90"/>
          <w:sz w:val="44"/>
          <w:szCs w:val="44"/>
        </w:rPr>
        <w:t>”</w:t>
      </w:r>
      <w:r>
        <w:rPr>
          <w:rFonts w:eastAsia="方正小标宋简体"/>
          <w:w w:val="90"/>
          <w:sz w:val="44"/>
          <w:szCs w:val="44"/>
        </w:rPr>
        <w:t>第八届中国国际</w:t>
      </w:r>
      <w:r>
        <w:rPr>
          <w:rFonts w:eastAsia="方正小标宋简体"/>
          <w:w w:val="90"/>
          <w:sz w:val="44"/>
          <w:szCs w:val="44"/>
        </w:rPr>
        <w:t>“</w:t>
      </w:r>
      <w:r>
        <w:rPr>
          <w:rFonts w:eastAsia="方正小标宋简体"/>
          <w:w w:val="90"/>
          <w:sz w:val="44"/>
          <w:szCs w:val="44"/>
        </w:rPr>
        <w:t>互联网</w:t>
      </w:r>
      <w:r>
        <w:rPr>
          <w:rFonts w:eastAsia="方正小标宋简体"/>
          <w:w w:val="90"/>
          <w:sz w:val="44"/>
          <w:szCs w:val="44"/>
        </w:rPr>
        <w:t>+”</w:t>
      </w:r>
      <w:r>
        <w:rPr>
          <w:rFonts w:eastAsia="方正小标宋简体"/>
          <w:w w:val="90"/>
          <w:sz w:val="44"/>
          <w:szCs w:val="44"/>
        </w:rPr>
        <w:t>大学生</w:t>
      </w: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创新创业大赛江苏选拔赛暨第十一届江苏省大学生</w:t>
      </w:r>
    </w:p>
    <w:p w:rsidR="00020196" w:rsidRDefault="00020196" w:rsidP="00020196">
      <w:pPr>
        <w:adjustRightInd w:val="0"/>
        <w:snapToGrid w:val="0"/>
        <w:spacing w:line="560" w:lineRule="exact"/>
        <w:jc w:val="center"/>
        <w:rPr>
          <w:rFonts w:eastAsia="方正小标宋简体"/>
          <w:w w:val="90"/>
          <w:sz w:val="44"/>
          <w:szCs w:val="44"/>
        </w:rPr>
      </w:pPr>
      <w:r>
        <w:rPr>
          <w:rFonts w:eastAsia="方正小标宋简体"/>
          <w:w w:val="90"/>
          <w:sz w:val="44"/>
          <w:szCs w:val="44"/>
        </w:rPr>
        <w:t>创新创业大赛产业命题赛道方案</w:t>
      </w:r>
    </w:p>
    <w:p w:rsidR="00020196" w:rsidRDefault="00020196" w:rsidP="00020196">
      <w:pPr>
        <w:adjustRightInd w:val="0"/>
        <w:snapToGrid w:val="0"/>
        <w:spacing w:line="560" w:lineRule="exact"/>
        <w:jc w:val="center"/>
        <w:rPr>
          <w:rFonts w:eastAsia="方正小标宋简体"/>
          <w:sz w:val="36"/>
          <w:szCs w:val="32"/>
        </w:rPr>
      </w:pPr>
    </w:p>
    <w:p w:rsidR="00020196" w:rsidRDefault="00020196" w:rsidP="00020196">
      <w:pPr>
        <w:adjustRightInd w:val="0"/>
        <w:snapToGrid w:val="0"/>
        <w:spacing w:line="560" w:lineRule="exact"/>
        <w:jc w:val="left"/>
        <w:rPr>
          <w:rFonts w:eastAsia="仿宋_GB2312"/>
          <w:sz w:val="32"/>
          <w:szCs w:val="32"/>
        </w:rPr>
      </w:pPr>
      <w:r>
        <w:rPr>
          <w:rFonts w:eastAsia="仿宋_GB2312"/>
          <w:sz w:val="32"/>
          <w:szCs w:val="32"/>
        </w:rPr>
        <w:t xml:space="preserve">    </w:t>
      </w:r>
      <w:r>
        <w:rPr>
          <w:rFonts w:eastAsia="仿宋_GB2312"/>
          <w:sz w:val="32"/>
          <w:szCs w:val="32"/>
        </w:rPr>
        <w:t>第八届中国国际</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大学生创新创业大赛江苏选拔赛暨第十一届江苏省大学生创新创业大赛设立产业命题赛道，加强产学研深度融合。具体工作方案如下。</w:t>
      </w:r>
    </w:p>
    <w:p w:rsidR="00020196" w:rsidRDefault="00020196" w:rsidP="00020196">
      <w:pPr>
        <w:adjustRightInd w:val="0"/>
        <w:snapToGrid w:val="0"/>
        <w:spacing w:line="540" w:lineRule="exact"/>
        <w:ind w:firstLineChars="200" w:firstLine="640"/>
        <w:rPr>
          <w:rFonts w:eastAsia="黑体"/>
          <w:sz w:val="32"/>
          <w:szCs w:val="32"/>
        </w:rPr>
      </w:pPr>
      <w:r>
        <w:rPr>
          <w:rFonts w:eastAsia="黑体"/>
          <w:sz w:val="32"/>
          <w:szCs w:val="32"/>
        </w:rPr>
        <w:t>一、目标任务</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（一）发挥开放创新效用，打通高校智力资源和企业发展需求，协同解决企业发展中所面临的技术、管理等现实问题。</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（二）引导高校将创新创业教育实践与产业发展有机结合，促进学生了解产业发展状况，培养学生解决产业发展问题的能力。</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（三）立足产业发展，深化新工科、新医科、新农科、新文科建设，校企协同培育产业新领域、新市场，推动大学生更高质量创业就业。</w:t>
      </w:r>
    </w:p>
    <w:p w:rsidR="00020196" w:rsidRDefault="00020196" w:rsidP="00020196">
      <w:pPr>
        <w:adjustRightInd w:val="0"/>
        <w:snapToGrid w:val="0"/>
        <w:spacing w:line="540" w:lineRule="exact"/>
        <w:ind w:firstLineChars="200" w:firstLine="640"/>
        <w:rPr>
          <w:rFonts w:eastAsia="黑体"/>
          <w:sz w:val="32"/>
          <w:szCs w:val="32"/>
        </w:rPr>
      </w:pPr>
      <w:r>
        <w:rPr>
          <w:rFonts w:eastAsia="黑体"/>
          <w:sz w:val="32"/>
          <w:szCs w:val="32"/>
        </w:rPr>
        <w:t>二、产业命题要求</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（一）企业命题聚焦国家</w:t>
      </w:r>
      <w:r>
        <w:rPr>
          <w:rFonts w:eastAsia="仿宋_GB2312"/>
          <w:sz w:val="32"/>
          <w:szCs w:val="32"/>
        </w:rPr>
        <w:t>“</w:t>
      </w:r>
      <w:r>
        <w:rPr>
          <w:rFonts w:eastAsia="仿宋_GB2312"/>
          <w:sz w:val="32"/>
          <w:szCs w:val="32"/>
        </w:rPr>
        <w:t>十四五</w:t>
      </w:r>
      <w:r>
        <w:rPr>
          <w:rFonts w:eastAsia="仿宋_GB2312"/>
          <w:sz w:val="32"/>
          <w:szCs w:val="32"/>
        </w:rPr>
        <w:t>”</w:t>
      </w:r>
      <w:r>
        <w:rPr>
          <w:rFonts w:eastAsia="仿宋_GB2312"/>
          <w:sz w:val="32"/>
          <w:szCs w:val="32"/>
        </w:rPr>
        <w:t>规划战略新兴产业方向，倡导新技术、新产品、新业态、新模式。围绕新工科、新医科、新农科、新文科对应的产业和行业领域，基于企业发展真实需求进行申报。</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（二）各高校可动员与本校有合作的产业代表性企业、行业龙头企业、专精特新企业以及入选国家</w:t>
      </w:r>
      <w:r>
        <w:rPr>
          <w:rFonts w:eastAsia="仿宋_GB2312"/>
          <w:sz w:val="32"/>
          <w:szCs w:val="32"/>
        </w:rPr>
        <w:t>“</w:t>
      </w:r>
      <w:r>
        <w:rPr>
          <w:rFonts w:eastAsia="仿宋_GB2312"/>
          <w:sz w:val="32"/>
          <w:szCs w:val="32"/>
        </w:rPr>
        <w:t>大众创业万众创新示范基地</w:t>
      </w:r>
      <w:r>
        <w:rPr>
          <w:rFonts w:eastAsia="仿宋_GB2312"/>
          <w:sz w:val="32"/>
          <w:szCs w:val="32"/>
        </w:rPr>
        <w:t>”</w:t>
      </w:r>
      <w:r>
        <w:rPr>
          <w:rFonts w:eastAsia="仿宋_GB2312"/>
          <w:sz w:val="32"/>
          <w:szCs w:val="32"/>
        </w:rPr>
        <w:t>的大型企业积极参与申报国赛命题。</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（三）教育部将于</w:t>
      </w:r>
      <w:r>
        <w:rPr>
          <w:rFonts w:eastAsia="仿宋_GB2312"/>
          <w:sz w:val="32"/>
          <w:szCs w:val="32"/>
        </w:rPr>
        <w:t xml:space="preserve"> 5 </w:t>
      </w:r>
      <w:r>
        <w:rPr>
          <w:rFonts w:eastAsia="仿宋_GB2312"/>
          <w:sz w:val="32"/>
          <w:szCs w:val="32"/>
        </w:rPr>
        <w:t>月上旬在全国大学生创业服务网（网址：</w:t>
      </w:r>
      <w:r>
        <w:rPr>
          <w:rFonts w:eastAsia="仿宋_GB2312"/>
          <w:sz w:val="32"/>
          <w:szCs w:val="32"/>
        </w:rPr>
        <w:t>cy.ncss.cn</w:t>
      </w:r>
      <w:r>
        <w:rPr>
          <w:rFonts w:eastAsia="仿宋_GB2312"/>
          <w:sz w:val="32"/>
          <w:szCs w:val="32"/>
        </w:rPr>
        <w:t>）公开发布今年入选的产业命题。</w:t>
      </w:r>
    </w:p>
    <w:p w:rsidR="00020196" w:rsidRDefault="00020196" w:rsidP="00020196">
      <w:pPr>
        <w:adjustRightInd w:val="0"/>
        <w:snapToGrid w:val="0"/>
        <w:spacing w:line="540" w:lineRule="exact"/>
        <w:ind w:firstLineChars="200" w:firstLine="640"/>
        <w:rPr>
          <w:rFonts w:eastAsia="黑体"/>
          <w:sz w:val="32"/>
          <w:szCs w:val="32"/>
        </w:rPr>
      </w:pPr>
      <w:r>
        <w:rPr>
          <w:rFonts w:eastAsia="黑体"/>
          <w:sz w:val="32"/>
          <w:szCs w:val="32"/>
        </w:rPr>
        <w:t>三、参赛项目要求</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（一）本赛道以团队为单位报名参赛，每支参赛团队只能选择一题参加比赛，允许跨校组建、师生共同组建参赛团队，每个团队的成员不少于</w:t>
      </w:r>
      <w:r>
        <w:rPr>
          <w:rFonts w:eastAsia="仿宋_GB2312"/>
          <w:sz w:val="32"/>
          <w:szCs w:val="32"/>
        </w:rPr>
        <w:t xml:space="preserve"> 3 </w:t>
      </w:r>
      <w:r>
        <w:rPr>
          <w:rFonts w:eastAsia="仿宋_GB2312"/>
          <w:sz w:val="32"/>
          <w:szCs w:val="32"/>
        </w:rPr>
        <w:t>人，不多于</w:t>
      </w:r>
      <w:r>
        <w:rPr>
          <w:rFonts w:eastAsia="仿宋_GB2312"/>
          <w:sz w:val="32"/>
          <w:szCs w:val="32"/>
        </w:rPr>
        <w:t xml:space="preserve"> 15 </w:t>
      </w:r>
      <w:r>
        <w:rPr>
          <w:rFonts w:eastAsia="仿宋_GB2312"/>
          <w:sz w:val="32"/>
          <w:szCs w:val="32"/>
        </w:rPr>
        <w:t>人（含团队负责人），须为揭榜答题的实际核心成员。</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（二）项目负责人须为普通高等学校全日制在校生（包括本专科生、研究生，不含在职教育），或毕业</w:t>
      </w:r>
      <w:r>
        <w:rPr>
          <w:rFonts w:eastAsia="仿宋_GB2312"/>
          <w:sz w:val="32"/>
          <w:szCs w:val="32"/>
        </w:rPr>
        <w:t xml:space="preserve"> 5 </w:t>
      </w:r>
      <w:r>
        <w:rPr>
          <w:rFonts w:eastAsia="仿宋_GB2312"/>
          <w:sz w:val="32"/>
          <w:szCs w:val="32"/>
        </w:rPr>
        <w:t>年以内的全日制学生（即</w:t>
      </w:r>
      <w:r>
        <w:rPr>
          <w:rFonts w:eastAsia="仿宋_GB2312"/>
          <w:sz w:val="32"/>
          <w:szCs w:val="32"/>
        </w:rPr>
        <w:t xml:space="preserve"> 2017 </w:t>
      </w:r>
      <w:r>
        <w:rPr>
          <w:rFonts w:eastAsia="仿宋_GB2312"/>
          <w:sz w:val="32"/>
          <w:szCs w:val="32"/>
        </w:rPr>
        <w:t>年之后毕业的本专科生、研究生，不含在职教育）。参赛项目中的教师须为高校教师（</w:t>
      </w:r>
      <w:r>
        <w:rPr>
          <w:rFonts w:eastAsia="仿宋_GB2312"/>
          <w:sz w:val="32"/>
          <w:szCs w:val="32"/>
        </w:rPr>
        <w:t xml:space="preserve">2022 </w:t>
      </w:r>
      <w:r>
        <w:rPr>
          <w:rFonts w:eastAsia="仿宋_GB2312"/>
          <w:sz w:val="32"/>
          <w:szCs w:val="32"/>
        </w:rPr>
        <w:t>年</w:t>
      </w:r>
      <w:r>
        <w:rPr>
          <w:rFonts w:eastAsia="仿宋_GB2312"/>
          <w:sz w:val="32"/>
          <w:szCs w:val="32"/>
        </w:rPr>
        <w:t xml:space="preserve"> 7 </w:t>
      </w:r>
      <w:r>
        <w:rPr>
          <w:rFonts w:eastAsia="仿宋_GB2312"/>
          <w:sz w:val="32"/>
          <w:szCs w:val="32"/>
        </w:rPr>
        <w:t>月</w:t>
      </w:r>
      <w:r>
        <w:rPr>
          <w:rFonts w:eastAsia="仿宋_GB2312"/>
          <w:sz w:val="32"/>
          <w:szCs w:val="32"/>
        </w:rPr>
        <w:t xml:space="preserve"> 31 </w:t>
      </w:r>
      <w:r>
        <w:rPr>
          <w:rFonts w:eastAsia="仿宋_GB2312"/>
          <w:sz w:val="32"/>
          <w:szCs w:val="32"/>
        </w:rPr>
        <w:t>日前正式入职）。</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（三）已获上届省赛一等奖但未获国赛金银奖的项目，可不占用学校</w:t>
      </w:r>
      <w:proofErr w:type="gramStart"/>
      <w:r>
        <w:rPr>
          <w:rFonts w:eastAsia="仿宋_GB2312"/>
          <w:sz w:val="32"/>
          <w:szCs w:val="32"/>
        </w:rPr>
        <w:t>晋级省</w:t>
      </w:r>
      <w:proofErr w:type="gramEnd"/>
      <w:r>
        <w:rPr>
          <w:rFonts w:eastAsia="仿宋_GB2312"/>
          <w:sz w:val="32"/>
          <w:szCs w:val="32"/>
        </w:rPr>
        <w:t>赛名额报名参加省赛，但仅限竞争晋级国赛资格，不再重复授予省级奖项，原则上每校最多推荐</w:t>
      </w:r>
      <w:r>
        <w:rPr>
          <w:rFonts w:eastAsia="仿宋_GB2312"/>
          <w:sz w:val="32"/>
          <w:szCs w:val="32"/>
        </w:rPr>
        <w:t>1</w:t>
      </w:r>
      <w:r>
        <w:rPr>
          <w:rFonts w:eastAsia="仿宋_GB2312"/>
          <w:sz w:val="32"/>
          <w:szCs w:val="32"/>
        </w:rPr>
        <w:t>项；往届省赛二等奖、三等奖的项目仍可报名参赛，占用学校</w:t>
      </w:r>
      <w:proofErr w:type="gramStart"/>
      <w:r>
        <w:rPr>
          <w:rFonts w:eastAsia="仿宋_GB2312"/>
          <w:sz w:val="32"/>
          <w:szCs w:val="32"/>
        </w:rPr>
        <w:t>晋级省</w:t>
      </w:r>
      <w:proofErr w:type="gramEnd"/>
      <w:r>
        <w:rPr>
          <w:rFonts w:eastAsia="仿宋_GB2312"/>
          <w:sz w:val="32"/>
          <w:szCs w:val="32"/>
        </w:rPr>
        <w:t>赛名额。已获往届国赛金银奖的项目，不可再报名参赛。</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（四）参赛团队所提交的命题对策须符合所答企业命题要求。参赛团队须对提交的应答材料拥有自主知识产权，不得侵犯他人知识产权或物权。</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四、参赛项目数量</w:t>
      </w:r>
    </w:p>
    <w:p w:rsidR="00020196" w:rsidRDefault="00020196" w:rsidP="00020196">
      <w:pPr>
        <w:adjustRightInd w:val="0"/>
        <w:snapToGrid w:val="0"/>
        <w:spacing w:line="540" w:lineRule="exact"/>
        <w:ind w:firstLineChars="200" w:firstLine="640"/>
        <w:rPr>
          <w:rFonts w:eastAsia="楷体_GB2312"/>
          <w:sz w:val="32"/>
          <w:szCs w:val="32"/>
        </w:rPr>
      </w:pPr>
      <w:r>
        <w:rPr>
          <w:rFonts w:eastAsia="楷体_GB2312"/>
          <w:sz w:val="32"/>
          <w:szCs w:val="32"/>
        </w:rPr>
        <w:t>（一）产业命题赛道校级初赛参赛项目数量</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各高校校级初赛需在</w:t>
      </w:r>
      <w:r>
        <w:rPr>
          <w:rFonts w:eastAsia="仿宋_GB2312"/>
          <w:sz w:val="32"/>
          <w:szCs w:val="32"/>
        </w:rPr>
        <w:t>“</w:t>
      </w:r>
      <w:r>
        <w:rPr>
          <w:rFonts w:eastAsia="仿宋_GB2312"/>
          <w:sz w:val="32"/>
          <w:szCs w:val="32"/>
        </w:rPr>
        <w:t>全国大学生创业服务网</w:t>
      </w:r>
      <w:r>
        <w:rPr>
          <w:rFonts w:eastAsia="仿宋_GB2312"/>
          <w:sz w:val="32"/>
          <w:szCs w:val="32"/>
        </w:rPr>
        <w:t>”</w:t>
      </w:r>
      <w:r>
        <w:rPr>
          <w:rFonts w:eastAsia="仿宋_GB2312"/>
          <w:sz w:val="32"/>
          <w:szCs w:val="32"/>
        </w:rPr>
        <w:t>报名，博士授权高校报名参加产业命题赛道校级初赛的团队总数一般不低于</w:t>
      </w:r>
      <w:r>
        <w:rPr>
          <w:rFonts w:eastAsia="仿宋_GB2312"/>
          <w:sz w:val="32"/>
          <w:szCs w:val="32"/>
        </w:rPr>
        <w:t>40</w:t>
      </w:r>
      <w:r>
        <w:rPr>
          <w:rFonts w:eastAsia="仿宋_GB2312"/>
          <w:sz w:val="32"/>
          <w:szCs w:val="32"/>
        </w:rPr>
        <w:t>个，硕士授权高校和其他本科高校报名参加产业命题赛道校级初赛的团队总数一般不低于</w:t>
      </w:r>
      <w:r>
        <w:rPr>
          <w:rFonts w:eastAsia="仿宋_GB2312"/>
          <w:sz w:val="32"/>
          <w:szCs w:val="32"/>
        </w:rPr>
        <w:t>37</w:t>
      </w:r>
      <w:r>
        <w:rPr>
          <w:rFonts w:eastAsia="仿宋_GB2312"/>
          <w:sz w:val="32"/>
          <w:szCs w:val="32"/>
        </w:rPr>
        <w:t>个，独立学院和省高水平高职院校报名参加产业命题赛道校级初赛的团队总数一般不低于</w:t>
      </w:r>
      <w:r>
        <w:rPr>
          <w:rFonts w:eastAsia="仿宋_GB2312"/>
          <w:sz w:val="32"/>
          <w:szCs w:val="32"/>
        </w:rPr>
        <w:t>34</w:t>
      </w:r>
      <w:r>
        <w:rPr>
          <w:rFonts w:eastAsia="仿宋_GB2312"/>
          <w:sz w:val="32"/>
          <w:szCs w:val="32"/>
        </w:rPr>
        <w:t>个，其他高职院校报名参加产业命题赛道校级初赛的团队总数一般不低于</w:t>
      </w:r>
      <w:r>
        <w:rPr>
          <w:rFonts w:eastAsia="仿宋_GB2312"/>
          <w:sz w:val="32"/>
          <w:szCs w:val="32"/>
        </w:rPr>
        <w:t>30</w:t>
      </w:r>
      <w:r>
        <w:rPr>
          <w:rFonts w:eastAsia="仿宋_GB2312"/>
          <w:sz w:val="32"/>
          <w:szCs w:val="32"/>
        </w:rPr>
        <w:t>个。产业命题赛道</w:t>
      </w:r>
      <w:proofErr w:type="gramStart"/>
      <w:r>
        <w:rPr>
          <w:rFonts w:eastAsia="仿宋_GB2312"/>
          <w:sz w:val="32"/>
          <w:szCs w:val="32"/>
        </w:rPr>
        <w:t>校赛报名</w:t>
      </w:r>
      <w:proofErr w:type="gramEnd"/>
      <w:r>
        <w:rPr>
          <w:rFonts w:eastAsia="仿宋_GB2312"/>
          <w:sz w:val="32"/>
          <w:szCs w:val="32"/>
        </w:rPr>
        <w:t>数量单列。</w:t>
      </w:r>
    </w:p>
    <w:p w:rsidR="00020196" w:rsidRDefault="00020196" w:rsidP="00020196">
      <w:pPr>
        <w:adjustRightInd w:val="0"/>
        <w:snapToGrid w:val="0"/>
        <w:spacing w:line="540" w:lineRule="exact"/>
        <w:ind w:firstLineChars="200" w:firstLine="640"/>
        <w:rPr>
          <w:rFonts w:eastAsia="楷体_GB2312"/>
          <w:sz w:val="32"/>
          <w:szCs w:val="32"/>
        </w:rPr>
      </w:pPr>
      <w:r>
        <w:rPr>
          <w:rFonts w:eastAsia="楷体_GB2312"/>
          <w:sz w:val="32"/>
          <w:szCs w:val="32"/>
        </w:rPr>
        <w:t>（二）产业命题赛道</w:t>
      </w:r>
      <w:proofErr w:type="gramStart"/>
      <w:r>
        <w:rPr>
          <w:rFonts w:eastAsia="楷体_GB2312"/>
          <w:sz w:val="32"/>
          <w:szCs w:val="32"/>
        </w:rPr>
        <w:t>晋级省</w:t>
      </w:r>
      <w:proofErr w:type="gramEnd"/>
      <w:r>
        <w:rPr>
          <w:rFonts w:eastAsia="楷体_GB2312"/>
          <w:sz w:val="32"/>
          <w:szCs w:val="32"/>
        </w:rPr>
        <w:t>赛参赛项目数量</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原则上博士授权高校每校推荐数不超过</w:t>
      </w:r>
      <w:r>
        <w:rPr>
          <w:rFonts w:eastAsia="仿宋_GB2312"/>
          <w:sz w:val="32"/>
          <w:szCs w:val="32"/>
        </w:rPr>
        <w:t>4</w:t>
      </w:r>
      <w:r>
        <w:rPr>
          <w:rFonts w:eastAsia="仿宋_GB2312"/>
          <w:sz w:val="32"/>
          <w:szCs w:val="32"/>
        </w:rPr>
        <w:t>个；硕士授权高校和其他本科高校每校推荐数不超过</w:t>
      </w:r>
      <w:r>
        <w:rPr>
          <w:rFonts w:eastAsia="仿宋_GB2312"/>
          <w:sz w:val="32"/>
          <w:szCs w:val="32"/>
        </w:rPr>
        <w:t>3</w:t>
      </w:r>
      <w:r>
        <w:rPr>
          <w:rFonts w:eastAsia="仿宋_GB2312"/>
          <w:sz w:val="32"/>
          <w:szCs w:val="32"/>
        </w:rPr>
        <w:t>个；独立学院和省高水平高职院校每校推荐数不超过</w:t>
      </w:r>
      <w:r>
        <w:rPr>
          <w:rFonts w:eastAsia="仿宋_GB2312"/>
          <w:sz w:val="32"/>
          <w:szCs w:val="32"/>
        </w:rPr>
        <w:t>2</w:t>
      </w:r>
      <w:r>
        <w:rPr>
          <w:rFonts w:eastAsia="仿宋_GB2312"/>
          <w:sz w:val="32"/>
          <w:szCs w:val="32"/>
        </w:rPr>
        <w:t>个；其他高职院校每校推荐数不超过</w:t>
      </w:r>
      <w:r>
        <w:rPr>
          <w:rFonts w:eastAsia="仿宋_GB2312"/>
          <w:sz w:val="32"/>
          <w:szCs w:val="32"/>
        </w:rPr>
        <w:t>1</w:t>
      </w:r>
      <w:r>
        <w:rPr>
          <w:rFonts w:eastAsia="仿宋_GB2312"/>
          <w:sz w:val="32"/>
          <w:szCs w:val="32"/>
        </w:rPr>
        <w:t>个。</w:t>
      </w:r>
    </w:p>
    <w:p w:rsidR="00020196" w:rsidRDefault="00020196" w:rsidP="00020196">
      <w:pPr>
        <w:adjustRightInd w:val="0"/>
        <w:snapToGrid w:val="0"/>
        <w:spacing w:line="540" w:lineRule="exact"/>
        <w:ind w:firstLineChars="200" w:firstLine="640"/>
        <w:rPr>
          <w:rFonts w:eastAsia="楷体_GB2312"/>
          <w:sz w:val="32"/>
          <w:szCs w:val="32"/>
        </w:rPr>
      </w:pPr>
      <w:r>
        <w:rPr>
          <w:rFonts w:eastAsia="楷体_GB2312"/>
          <w:sz w:val="32"/>
          <w:szCs w:val="32"/>
        </w:rPr>
        <w:t>（三）产业命题赛道</w:t>
      </w:r>
      <w:proofErr w:type="gramStart"/>
      <w:r>
        <w:rPr>
          <w:rFonts w:eastAsia="楷体_GB2312"/>
          <w:sz w:val="32"/>
          <w:szCs w:val="32"/>
        </w:rPr>
        <w:t>晋级省</w:t>
      </w:r>
      <w:proofErr w:type="gramEnd"/>
      <w:r>
        <w:rPr>
          <w:rFonts w:eastAsia="楷体_GB2312"/>
          <w:sz w:val="32"/>
          <w:szCs w:val="32"/>
        </w:rPr>
        <w:t>赛参赛名额奖励</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获上届国赛金银奖的高校按每个金奖</w:t>
      </w:r>
      <w:r>
        <w:rPr>
          <w:rFonts w:eastAsia="仿宋_GB2312"/>
          <w:sz w:val="32"/>
          <w:szCs w:val="32"/>
        </w:rPr>
        <w:t>2</w:t>
      </w:r>
      <w:r>
        <w:rPr>
          <w:rFonts w:eastAsia="仿宋_GB2312"/>
          <w:sz w:val="32"/>
          <w:szCs w:val="32"/>
        </w:rPr>
        <w:t>个，每个银奖</w:t>
      </w:r>
      <w:r>
        <w:rPr>
          <w:rFonts w:eastAsia="仿宋_GB2312"/>
          <w:sz w:val="32"/>
          <w:szCs w:val="32"/>
        </w:rPr>
        <w:t>1</w:t>
      </w:r>
      <w:r>
        <w:rPr>
          <w:rFonts w:eastAsia="仿宋_GB2312"/>
          <w:sz w:val="32"/>
          <w:szCs w:val="32"/>
        </w:rPr>
        <w:t>个奖励</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数量超过指标</w:t>
      </w:r>
      <w:r>
        <w:rPr>
          <w:rFonts w:eastAsia="仿宋_GB2312"/>
          <w:sz w:val="32"/>
          <w:szCs w:val="32"/>
        </w:rPr>
        <w:t>50%</w:t>
      </w:r>
      <w:r>
        <w:rPr>
          <w:rFonts w:eastAsia="仿宋_GB2312"/>
          <w:sz w:val="32"/>
          <w:szCs w:val="32"/>
        </w:rPr>
        <w:t>以上的增加</w:t>
      </w:r>
      <w:r>
        <w:rPr>
          <w:rFonts w:eastAsia="仿宋_GB2312"/>
          <w:sz w:val="32"/>
          <w:szCs w:val="32"/>
        </w:rPr>
        <w:t>1</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赛名额，超过指标</w:t>
      </w:r>
      <w:r>
        <w:rPr>
          <w:rFonts w:eastAsia="仿宋_GB2312"/>
          <w:sz w:val="32"/>
          <w:szCs w:val="32"/>
        </w:rPr>
        <w:t>100%</w:t>
      </w:r>
      <w:r>
        <w:rPr>
          <w:rFonts w:eastAsia="仿宋_GB2312"/>
          <w:sz w:val="32"/>
          <w:szCs w:val="32"/>
        </w:rPr>
        <w:t>以上的增加</w:t>
      </w:r>
      <w:r>
        <w:rPr>
          <w:rFonts w:eastAsia="仿宋_GB2312"/>
          <w:sz w:val="32"/>
          <w:szCs w:val="32"/>
        </w:rPr>
        <w:t>2</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数量未达到最低指标要求的按照比例核减学校</w:t>
      </w:r>
      <w:proofErr w:type="gramStart"/>
      <w:r>
        <w:rPr>
          <w:rFonts w:eastAsia="仿宋_GB2312"/>
          <w:sz w:val="32"/>
          <w:szCs w:val="32"/>
        </w:rPr>
        <w:t>晋级省</w:t>
      </w:r>
      <w:proofErr w:type="gramEnd"/>
      <w:r>
        <w:rPr>
          <w:rFonts w:eastAsia="仿宋_GB2312"/>
          <w:sz w:val="32"/>
          <w:szCs w:val="32"/>
        </w:rPr>
        <w:t>赛名额。</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五、奖项设置</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本赛道设一等奖</w:t>
      </w:r>
      <w:r>
        <w:rPr>
          <w:rFonts w:eastAsia="仿宋_GB2312"/>
          <w:sz w:val="32"/>
          <w:szCs w:val="32"/>
        </w:rPr>
        <w:t>20</w:t>
      </w:r>
      <w:r>
        <w:rPr>
          <w:rFonts w:eastAsia="仿宋_GB2312"/>
          <w:sz w:val="32"/>
          <w:szCs w:val="32"/>
        </w:rPr>
        <w:t>个、二等奖</w:t>
      </w:r>
      <w:r>
        <w:rPr>
          <w:rFonts w:eastAsia="仿宋_GB2312"/>
          <w:sz w:val="32"/>
          <w:szCs w:val="32"/>
        </w:rPr>
        <w:t>30</w:t>
      </w:r>
      <w:r>
        <w:rPr>
          <w:rFonts w:eastAsia="仿宋_GB2312"/>
          <w:sz w:val="32"/>
          <w:szCs w:val="32"/>
        </w:rPr>
        <w:t>个、三等奖</w:t>
      </w:r>
      <w:r>
        <w:rPr>
          <w:rFonts w:eastAsia="仿宋_GB2312"/>
          <w:sz w:val="32"/>
          <w:szCs w:val="32"/>
        </w:rPr>
        <w:t>50</w:t>
      </w:r>
      <w:r>
        <w:rPr>
          <w:rFonts w:eastAsia="仿宋_GB2312"/>
          <w:sz w:val="32"/>
          <w:szCs w:val="32"/>
        </w:rPr>
        <w:t>个左右，奖项设置及数量根据参赛队伍数量和质量适当调整。原则上，每校</w:t>
      </w:r>
      <w:proofErr w:type="gramStart"/>
      <w:r>
        <w:rPr>
          <w:rFonts w:eastAsia="仿宋_GB2312"/>
          <w:sz w:val="32"/>
          <w:szCs w:val="32"/>
        </w:rPr>
        <w:t>入围省决赛</w:t>
      </w:r>
      <w:proofErr w:type="gramEnd"/>
      <w:r>
        <w:rPr>
          <w:rFonts w:eastAsia="仿宋_GB2312"/>
          <w:sz w:val="32"/>
          <w:szCs w:val="32"/>
        </w:rPr>
        <w:t>的项目不超过</w:t>
      </w:r>
      <w:r>
        <w:rPr>
          <w:rFonts w:eastAsia="仿宋_GB2312"/>
          <w:sz w:val="32"/>
          <w:szCs w:val="32"/>
        </w:rPr>
        <w:t>4</w:t>
      </w:r>
      <w:r>
        <w:rPr>
          <w:rFonts w:eastAsia="仿宋_GB2312"/>
          <w:sz w:val="32"/>
          <w:szCs w:val="32"/>
        </w:rPr>
        <w:t>个（获上届国赛金奖的高校可不受</w:t>
      </w:r>
      <w:r>
        <w:rPr>
          <w:rFonts w:eastAsia="仿宋_GB2312"/>
          <w:sz w:val="32"/>
          <w:szCs w:val="32"/>
        </w:rPr>
        <w:t>4</w:t>
      </w:r>
      <w:r>
        <w:rPr>
          <w:rFonts w:eastAsia="仿宋_GB2312"/>
          <w:sz w:val="32"/>
          <w:szCs w:val="32"/>
        </w:rPr>
        <w:t>个名额的限制，每个金奖奖励突破</w:t>
      </w:r>
      <w:r>
        <w:rPr>
          <w:rFonts w:eastAsia="仿宋_GB2312"/>
          <w:sz w:val="32"/>
          <w:szCs w:val="32"/>
        </w:rPr>
        <w:t>1</w:t>
      </w:r>
      <w:r>
        <w:rPr>
          <w:rFonts w:eastAsia="仿宋_GB2312"/>
          <w:sz w:val="32"/>
          <w:szCs w:val="32"/>
        </w:rPr>
        <w:t>个网评</w:t>
      </w:r>
      <w:proofErr w:type="gramStart"/>
      <w:r>
        <w:rPr>
          <w:rFonts w:eastAsia="仿宋_GB2312"/>
          <w:sz w:val="32"/>
          <w:szCs w:val="32"/>
        </w:rPr>
        <w:t>入围省决赛</w:t>
      </w:r>
      <w:proofErr w:type="gramEnd"/>
      <w:r>
        <w:rPr>
          <w:rFonts w:eastAsia="仿宋_GB2312"/>
          <w:sz w:val="32"/>
          <w:szCs w:val="32"/>
        </w:rPr>
        <w:t>指标），每校获省赛一等奖项目不超过</w:t>
      </w:r>
      <w:r>
        <w:rPr>
          <w:rFonts w:eastAsia="仿宋_GB2312"/>
          <w:sz w:val="32"/>
          <w:szCs w:val="32"/>
        </w:rPr>
        <w:t>3</w:t>
      </w:r>
      <w:r>
        <w:rPr>
          <w:rFonts w:eastAsia="仿宋_GB2312"/>
          <w:sz w:val="32"/>
          <w:szCs w:val="32"/>
        </w:rPr>
        <w:t>个。各校获省赛一等奖超过限额的项目原则上仍授予一等奖（名额另加），但本年度不推荐晋级国赛。</w:t>
      </w:r>
    </w:p>
    <w:p w:rsidR="00020196" w:rsidRDefault="00020196" w:rsidP="00020196">
      <w:pPr>
        <w:adjustRightInd w:val="0"/>
        <w:snapToGrid w:val="0"/>
        <w:spacing w:line="540" w:lineRule="exact"/>
        <w:ind w:firstLineChars="200" w:firstLine="640"/>
        <w:rPr>
          <w:rFonts w:eastAsia="黑体"/>
          <w:sz w:val="32"/>
          <w:szCs w:val="32"/>
        </w:rPr>
      </w:pPr>
      <w:r>
        <w:rPr>
          <w:rFonts w:eastAsia="黑体"/>
          <w:sz w:val="32"/>
          <w:szCs w:val="32"/>
        </w:rPr>
        <w:t>六、材料提交</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各高校应组织学生于</w:t>
      </w:r>
      <w:r>
        <w:rPr>
          <w:rFonts w:eastAsia="仿宋_GB2312"/>
          <w:sz w:val="32"/>
          <w:szCs w:val="32"/>
        </w:rPr>
        <w:t>6</w:t>
      </w:r>
      <w:r>
        <w:rPr>
          <w:rFonts w:eastAsia="仿宋_GB2312"/>
          <w:sz w:val="32"/>
          <w:szCs w:val="32"/>
        </w:rPr>
        <w:t>月</w:t>
      </w:r>
      <w:r>
        <w:rPr>
          <w:rFonts w:eastAsia="仿宋_GB2312"/>
          <w:sz w:val="32"/>
          <w:szCs w:val="32"/>
        </w:rPr>
        <w:t>1</w:t>
      </w:r>
      <w:r>
        <w:rPr>
          <w:rFonts w:eastAsia="仿宋_GB2312"/>
          <w:sz w:val="32"/>
          <w:szCs w:val="32"/>
        </w:rPr>
        <w:t>日前登录江苏省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大学生创新创业大赛管理平台（</w:t>
      </w:r>
      <w:r>
        <w:rPr>
          <w:rFonts w:eastAsia="仿宋_GB2312"/>
          <w:sz w:val="32"/>
          <w:szCs w:val="32"/>
        </w:rPr>
        <w:t>https://jsgjc.jse.edu.cn:81</w:t>
      </w:r>
      <w:r>
        <w:rPr>
          <w:rFonts w:eastAsia="仿宋_GB2312"/>
          <w:sz w:val="32"/>
          <w:szCs w:val="32"/>
        </w:rPr>
        <w:t>）报名，并在线提交命题解决对策、对策展示文件与展示视频等有关材料。具体要求如下：</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（一）命题解决对策。文件类型须为</w:t>
      </w:r>
      <w:proofErr w:type="spellStart"/>
      <w:r>
        <w:rPr>
          <w:rFonts w:eastAsia="仿宋_GB2312"/>
          <w:sz w:val="32"/>
          <w:szCs w:val="32"/>
        </w:rPr>
        <w:t>pdf</w:t>
      </w:r>
      <w:proofErr w:type="spellEnd"/>
      <w:r>
        <w:rPr>
          <w:rFonts w:eastAsia="仿宋_GB2312"/>
          <w:sz w:val="32"/>
          <w:szCs w:val="32"/>
        </w:rPr>
        <w:t>或</w:t>
      </w:r>
      <w:r>
        <w:rPr>
          <w:rFonts w:eastAsia="仿宋_GB2312"/>
          <w:sz w:val="32"/>
          <w:szCs w:val="32"/>
        </w:rPr>
        <w:t>word</w:t>
      </w:r>
      <w:r>
        <w:rPr>
          <w:rFonts w:eastAsia="仿宋_GB2312"/>
          <w:sz w:val="32"/>
          <w:szCs w:val="32"/>
        </w:rPr>
        <w:t>，大小不超过</w:t>
      </w:r>
      <w:r>
        <w:rPr>
          <w:rFonts w:eastAsia="仿宋_GB2312"/>
          <w:sz w:val="32"/>
          <w:szCs w:val="32"/>
        </w:rPr>
        <w:t>20M</w:t>
      </w:r>
      <w:r>
        <w:rPr>
          <w:rFonts w:eastAsia="仿宋_GB2312"/>
          <w:sz w:val="32"/>
          <w:szCs w:val="32"/>
        </w:rPr>
        <w:t>。</w:t>
      </w:r>
      <w:r>
        <w:rPr>
          <w:rFonts w:eastAsia="仿宋_GB2312"/>
          <w:sz w:val="32"/>
          <w:szCs w:val="32"/>
        </w:rPr>
        <w:t>(</w:t>
      </w:r>
      <w:r>
        <w:rPr>
          <w:rFonts w:eastAsia="仿宋_GB2312"/>
          <w:sz w:val="32"/>
          <w:szCs w:val="32"/>
        </w:rPr>
        <w:t>填报到省</w:t>
      </w:r>
      <w:proofErr w:type="gramStart"/>
      <w:r>
        <w:rPr>
          <w:rFonts w:eastAsia="仿宋_GB2312"/>
          <w:sz w:val="32"/>
          <w:szCs w:val="32"/>
        </w:rPr>
        <w:t>赛系统</w:t>
      </w:r>
      <w:proofErr w:type="gramEnd"/>
      <w:r>
        <w:rPr>
          <w:rFonts w:eastAsia="仿宋_GB2312"/>
          <w:sz w:val="32"/>
          <w:szCs w:val="32"/>
        </w:rPr>
        <w:t>中</w:t>
      </w:r>
      <w:r>
        <w:rPr>
          <w:rFonts w:eastAsia="仿宋_GB2312"/>
          <w:sz w:val="32"/>
          <w:szCs w:val="32"/>
        </w:rPr>
        <w:t>“</w:t>
      </w:r>
      <w:r>
        <w:rPr>
          <w:rFonts w:eastAsia="仿宋_GB2312"/>
          <w:sz w:val="32"/>
          <w:szCs w:val="32"/>
        </w:rPr>
        <w:t>申请表电子版</w:t>
      </w:r>
      <w:r>
        <w:rPr>
          <w:rFonts w:eastAsia="仿宋_GB2312"/>
          <w:sz w:val="32"/>
          <w:szCs w:val="32"/>
        </w:rPr>
        <w:t>”</w:t>
      </w:r>
      <w:r>
        <w:rPr>
          <w:rFonts w:eastAsia="仿宋_GB2312"/>
          <w:sz w:val="32"/>
          <w:szCs w:val="32"/>
        </w:rPr>
        <w:t>栏目中</w:t>
      </w:r>
      <w:r>
        <w:rPr>
          <w:rFonts w:eastAsia="仿宋_GB2312"/>
          <w:sz w:val="32"/>
          <w:szCs w:val="32"/>
        </w:rPr>
        <w:t>)</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（二）对策展示文件。文件格式须为</w:t>
      </w:r>
      <w:proofErr w:type="spellStart"/>
      <w:r>
        <w:rPr>
          <w:rFonts w:eastAsia="仿宋_GB2312"/>
          <w:sz w:val="32"/>
          <w:szCs w:val="32"/>
        </w:rPr>
        <w:t>ppt</w:t>
      </w:r>
      <w:proofErr w:type="spellEnd"/>
      <w:r>
        <w:rPr>
          <w:rFonts w:eastAsia="仿宋_GB2312"/>
          <w:sz w:val="32"/>
          <w:szCs w:val="32"/>
        </w:rPr>
        <w:t>或</w:t>
      </w:r>
      <w:proofErr w:type="spellStart"/>
      <w:r>
        <w:rPr>
          <w:rFonts w:eastAsia="仿宋_GB2312"/>
          <w:sz w:val="32"/>
          <w:szCs w:val="32"/>
        </w:rPr>
        <w:t>pptx</w:t>
      </w:r>
      <w:proofErr w:type="spellEnd"/>
      <w:r>
        <w:rPr>
          <w:rFonts w:eastAsia="仿宋_GB2312"/>
          <w:sz w:val="32"/>
          <w:szCs w:val="32"/>
        </w:rPr>
        <w:t>，大小不超过</w:t>
      </w:r>
      <w:r>
        <w:rPr>
          <w:rFonts w:eastAsia="仿宋_GB2312"/>
          <w:sz w:val="32"/>
          <w:szCs w:val="32"/>
        </w:rPr>
        <w:t>20M</w:t>
      </w:r>
      <w:r>
        <w:rPr>
          <w:rFonts w:eastAsia="仿宋_GB2312"/>
          <w:sz w:val="32"/>
          <w:szCs w:val="32"/>
        </w:rPr>
        <w:t>。</w:t>
      </w:r>
      <w:r>
        <w:rPr>
          <w:rFonts w:eastAsia="仿宋_GB2312"/>
          <w:sz w:val="32"/>
          <w:szCs w:val="32"/>
        </w:rPr>
        <w:t>(</w:t>
      </w:r>
      <w:r>
        <w:rPr>
          <w:rFonts w:eastAsia="仿宋_GB2312"/>
          <w:sz w:val="32"/>
          <w:szCs w:val="32"/>
        </w:rPr>
        <w:t>填报到省</w:t>
      </w:r>
      <w:proofErr w:type="gramStart"/>
      <w:r>
        <w:rPr>
          <w:rFonts w:eastAsia="仿宋_GB2312"/>
          <w:sz w:val="32"/>
          <w:szCs w:val="32"/>
        </w:rPr>
        <w:t>赛系统</w:t>
      </w:r>
      <w:proofErr w:type="gramEnd"/>
      <w:r>
        <w:rPr>
          <w:rFonts w:eastAsia="仿宋_GB2312"/>
          <w:sz w:val="32"/>
          <w:szCs w:val="32"/>
        </w:rPr>
        <w:t>中</w:t>
      </w:r>
      <w:r>
        <w:rPr>
          <w:rFonts w:eastAsia="仿宋_GB2312"/>
          <w:sz w:val="32"/>
          <w:szCs w:val="32"/>
        </w:rPr>
        <w:t>“</w:t>
      </w:r>
      <w:r>
        <w:rPr>
          <w:rFonts w:eastAsia="仿宋_GB2312"/>
          <w:sz w:val="32"/>
          <w:szCs w:val="32"/>
        </w:rPr>
        <w:t>项目</w:t>
      </w:r>
      <w:r>
        <w:rPr>
          <w:rFonts w:eastAsia="仿宋_GB2312"/>
          <w:sz w:val="32"/>
          <w:szCs w:val="32"/>
        </w:rPr>
        <w:t>PPT</w:t>
      </w:r>
      <w:r>
        <w:rPr>
          <w:rFonts w:eastAsia="仿宋_GB2312"/>
          <w:sz w:val="32"/>
          <w:szCs w:val="32"/>
        </w:rPr>
        <w:t>或项目</w:t>
      </w:r>
      <w:r>
        <w:rPr>
          <w:rFonts w:eastAsia="仿宋_GB2312"/>
          <w:sz w:val="32"/>
          <w:szCs w:val="32"/>
        </w:rPr>
        <w:t>PPT[PDF</w:t>
      </w:r>
      <w:r>
        <w:rPr>
          <w:rFonts w:eastAsia="仿宋_GB2312"/>
          <w:sz w:val="32"/>
          <w:szCs w:val="32"/>
        </w:rPr>
        <w:t>版本</w:t>
      </w:r>
      <w:r>
        <w:rPr>
          <w:rFonts w:eastAsia="仿宋_GB2312"/>
          <w:sz w:val="32"/>
          <w:szCs w:val="32"/>
        </w:rPr>
        <w:t>]”</w:t>
      </w:r>
      <w:r>
        <w:rPr>
          <w:rFonts w:eastAsia="仿宋_GB2312"/>
          <w:sz w:val="32"/>
          <w:szCs w:val="32"/>
        </w:rPr>
        <w:t>栏目中</w:t>
      </w:r>
      <w:r>
        <w:rPr>
          <w:rFonts w:eastAsia="仿宋_GB2312"/>
          <w:sz w:val="32"/>
          <w:szCs w:val="32"/>
        </w:rPr>
        <w:t>)</w:t>
      </w:r>
    </w:p>
    <w:p w:rsidR="00020196" w:rsidRDefault="00020196" w:rsidP="00020196">
      <w:pPr>
        <w:adjustRightInd w:val="0"/>
        <w:snapToGrid w:val="0"/>
        <w:spacing w:line="540" w:lineRule="exact"/>
        <w:ind w:firstLineChars="200" w:firstLine="640"/>
        <w:rPr>
          <w:rFonts w:eastAsia="仿宋_GB2312"/>
          <w:sz w:val="32"/>
          <w:szCs w:val="32"/>
        </w:rPr>
      </w:pPr>
      <w:r>
        <w:rPr>
          <w:rFonts w:eastAsia="仿宋_GB2312"/>
          <w:sz w:val="32"/>
          <w:szCs w:val="32"/>
        </w:rPr>
        <w:t>（三）对策展示视频。文件格式须为</w:t>
      </w:r>
      <w:r>
        <w:rPr>
          <w:rFonts w:eastAsia="仿宋_GB2312"/>
          <w:sz w:val="32"/>
          <w:szCs w:val="32"/>
        </w:rPr>
        <w:t>MP4</w:t>
      </w:r>
      <w:r>
        <w:rPr>
          <w:rFonts w:eastAsia="仿宋_GB2312"/>
          <w:sz w:val="32"/>
          <w:szCs w:val="32"/>
        </w:rPr>
        <w:t>，视频时长不超过</w:t>
      </w:r>
      <w:r>
        <w:rPr>
          <w:rFonts w:eastAsia="仿宋_GB2312"/>
          <w:sz w:val="32"/>
          <w:szCs w:val="32"/>
        </w:rPr>
        <w:t>1</w:t>
      </w:r>
      <w:r>
        <w:rPr>
          <w:rFonts w:eastAsia="仿宋_GB2312"/>
          <w:sz w:val="32"/>
          <w:szCs w:val="32"/>
        </w:rPr>
        <w:t>分</w:t>
      </w:r>
      <w:r>
        <w:rPr>
          <w:rFonts w:eastAsia="仿宋_GB2312"/>
          <w:sz w:val="32"/>
          <w:szCs w:val="32"/>
        </w:rPr>
        <w:t>30</w:t>
      </w:r>
      <w:r>
        <w:rPr>
          <w:rFonts w:eastAsia="仿宋_GB2312"/>
          <w:sz w:val="32"/>
          <w:szCs w:val="32"/>
        </w:rPr>
        <w:t>秒，大小不超过</w:t>
      </w:r>
      <w:r>
        <w:rPr>
          <w:rFonts w:eastAsia="仿宋_GB2312"/>
          <w:sz w:val="32"/>
          <w:szCs w:val="32"/>
        </w:rPr>
        <w:t>20M</w:t>
      </w:r>
      <w:r>
        <w:rPr>
          <w:rFonts w:eastAsia="仿宋_GB2312"/>
          <w:sz w:val="32"/>
          <w:szCs w:val="32"/>
        </w:rPr>
        <w:t>。视频编码为</w:t>
      </w:r>
      <w:r>
        <w:rPr>
          <w:rFonts w:eastAsia="仿宋_GB2312"/>
          <w:sz w:val="32"/>
          <w:szCs w:val="32"/>
        </w:rPr>
        <w:t>H.264</w:t>
      </w:r>
      <w:r>
        <w:rPr>
          <w:rFonts w:eastAsia="仿宋_GB2312"/>
          <w:sz w:val="32"/>
          <w:szCs w:val="32"/>
        </w:rPr>
        <w:t>，音频编码为</w:t>
      </w:r>
      <w:r>
        <w:rPr>
          <w:rFonts w:eastAsia="仿宋_GB2312"/>
          <w:sz w:val="32"/>
          <w:szCs w:val="32"/>
        </w:rPr>
        <w:t>AAC</w:t>
      </w:r>
      <w:r>
        <w:rPr>
          <w:rFonts w:eastAsia="仿宋_GB2312"/>
          <w:sz w:val="32"/>
          <w:szCs w:val="32"/>
        </w:rPr>
        <w:t>，分辨率不低于</w:t>
      </w:r>
      <w:r>
        <w:rPr>
          <w:rFonts w:eastAsia="仿宋_GB2312"/>
          <w:sz w:val="32"/>
          <w:szCs w:val="32"/>
        </w:rPr>
        <w:t>800*600</w:t>
      </w:r>
      <w:r>
        <w:rPr>
          <w:rFonts w:eastAsia="仿宋_GB2312"/>
          <w:sz w:val="32"/>
          <w:szCs w:val="32"/>
        </w:rPr>
        <w:t>，画面流畅，声音清晰。展示视频在省级决赛前不作硬性要求，根据团队实际情况考虑是否提交。</w:t>
      </w:r>
      <w:r>
        <w:rPr>
          <w:rFonts w:eastAsia="仿宋_GB2312"/>
          <w:sz w:val="32"/>
          <w:szCs w:val="32"/>
        </w:rPr>
        <w:t>(</w:t>
      </w:r>
      <w:r>
        <w:rPr>
          <w:rFonts w:eastAsia="仿宋_GB2312"/>
          <w:sz w:val="32"/>
          <w:szCs w:val="32"/>
        </w:rPr>
        <w:t>填报到省</w:t>
      </w:r>
      <w:proofErr w:type="gramStart"/>
      <w:r>
        <w:rPr>
          <w:rFonts w:eastAsia="仿宋_GB2312"/>
          <w:sz w:val="32"/>
          <w:szCs w:val="32"/>
        </w:rPr>
        <w:t>赛系统</w:t>
      </w:r>
      <w:proofErr w:type="gramEnd"/>
      <w:r>
        <w:rPr>
          <w:rFonts w:eastAsia="仿宋_GB2312"/>
          <w:sz w:val="32"/>
          <w:szCs w:val="32"/>
        </w:rPr>
        <w:t>中</w:t>
      </w:r>
      <w:r>
        <w:rPr>
          <w:rFonts w:eastAsia="仿宋_GB2312"/>
          <w:sz w:val="32"/>
          <w:szCs w:val="32"/>
        </w:rPr>
        <w:t>“</w:t>
      </w:r>
      <w:r>
        <w:rPr>
          <w:rFonts w:eastAsia="仿宋_GB2312"/>
          <w:sz w:val="32"/>
          <w:szCs w:val="32"/>
        </w:rPr>
        <w:t>项目视频</w:t>
      </w:r>
      <w:r>
        <w:rPr>
          <w:rFonts w:eastAsia="仿宋_GB2312"/>
          <w:sz w:val="32"/>
          <w:szCs w:val="32"/>
        </w:rPr>
        <w:t>”</w:t>
      </w:r>
      <w:r>
        <w:rPr>
          <w:rFonts w:eastAsia="仿宋_GB2312"/>
          <w:sz w:val="32"/>
          <w:szCs w:val="32"/>
        </w:rPr>
        <w:t>栏目中</w:t>
      </w:r>
      <w:r>
        <w:rPr>
          <w:rFonts w:eastAsia="仿宋_GB2312"/>
          <w:sz w:val="32"/>
          <w:szCs w:val="32"/>
        </w:rPr>
        <w:t>)</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七、联系方式</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大赛组委会产业赛道联系人：</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省教育厅高等教育处魏永军；</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025-83335156</w:t>
      </w:r>
      <w:r>
        <w:rPr>
          <w:rFonts w:eastAsia="仿宋_GB2312"/>
          <w:sz w:val="32"/>
          <w:szCs w:val="32"/>
        </w:rPr>
        <w:t>；</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南京农业大学教务处雷颖；</w:t>
      </w:r>
    </w:p>
    <w:p w:rsidR="00020196" w:rsidRDefault="00020196" w:rsidP="00020196">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025-84395910</w:t>
      </w:r>
      <w:r>
        <w:rPr>
          <w:rFonts w:eastAsia="仿宋_GB2312"/>
          <w:sz w:val="32"/>
          <w:szCs w:val="32"/>
        </w:rPr>
        <w:t>；</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电子邮箱：</w:t>
      </w:r>
      <w:r>
        <w:rPr>
          <w:rFonts w:eastAsia="仿宋_GB2312"/>
          <w:sz w:val="32"/>
          <w:szCs w:val="32"/>
        </w:rPr>
        <w:t>jwcsjk@njau.edu.cn</w:t>
      </w:r>
      <w:r>
        <w:rPr>
          <w:rFonts w:eastAsia="仿宋_GB2312"/>
          <w:sz w:val="32"/>
          <w:szCs w:val="32"/>
        </w:rPr>
        <w:t>；</w:t>
      </w:r>
    </w:p>
    <w:p w:rsidR="00020196" w:rsidRDefault="00020196" w:rsidP="00020196">
      <w:pPr>
        <w:adjustRightInd w:val="0"/>
        <w:snapToGrid w:val="0"/>
        <w:spacing w:line="560" w:lineRule="exact"/>
        <w:ind w:firstLineChars="200" w:firstLine="640"/>
        <w:rPr>
          <w:rFonts w:eastAsia="仿宋_GB2312"/>
          <w:sz w:val="32"/>
          <w:szCs w:val="32"/>
        </w:rPr>
      </w:pPr>
      <w:r>
        <w:rPr>
          <w:rFonts w:eastAsia="仿宋_GB2312"/>
          <w:sz w:val="32"/>
          <w:szCs w:val="32"/>
        </w:rPr>
        <w:t>地址：南京市玄武</w:t>
      </w:r>
      <w:proofErr w:type="gramStart"/>
      <w:r>
        <w:rPr>
          <w:rFonts w:eastAsia="仿宋_GB2312"/>
          <w:sz w:val="32"/>
          <w:szCs w:val="32"/>
        </w:rPr>
        <w:t>区卫岗</w:t>
      </w:r>
      <w:r>
        <w:rPr>
          <w:rFonts w:eastAsia="仿宋_GB2312"/>
          <w:sz w:val="32"/>
          <w:szCs w:val="32"/>
        </w:rPr>
        <w:t>1</w:t>
      </w:r>
      <w:r>
        <w:rPr>
          <w:rFonts w:eastAsia="仿宋_GB2312"/>
          <w:sz w:val="32"/>
          <w:szCs w:val="32"/>
        </w:rPr>
        <w:t>号</w:t>
      </w:r>
      <w:proofErr w:type="gramEnd"/>
      <w:r>
        <w:rPr>
          <w:rFonts w:eastAsia="仿宋_GB2312"/>
          <w:sz w:val="32"/>
          <w:szCs w:val="32"/>
        </w:rPr>
        <w:t>南京农业大学行政北楼教务处，邮编：</w:t>
      </w:r>
      <w:r>
        <w:rPr>
          <w:rFonts w:eastAsia="仿宋_GB2312"/>
          <w:sz w:val="32"/>
          <w:szCs w:val="32"/>
        </w:rPr>
        <w:t>210095</w:t>
      </w:r>
      <w:r>
        <w:rPr>
          <w:rFonts w:eastAsia="仿宋_GB2312"/>
          <w:sz w:val="32"/>
          <w:szCs w:val="32"/>
        </w:rPr>
        <w:t>。</w:t>
      </w:r>
    </w:p>
    <w:p w:rsidR="00020196" w:rsidRDefault="00020196" w:rsidP="00020196">
      <w:pPr>
        <w:adjustRightInd w:val="0"/>
        <w:snapToGrid w:val="0"/>
        <w:spacing w:line="560" w:lineRule="exact"/>
        <w:ind w:firstLineChars="200" w:firstLine="640"/>
        <w:rPr>
          <w:rFonts w:eastAsia="黑体"/>
          <w:sz w:val="32"/>
          <w:szCs w:val="32"/>
        </w:rPr>
      </w:pPr>
      <w:r>
        <w:rPr>
          <w:rFonts w:eastAsia="黑体"/>
          <w:sz w:val="32"/>
          <w:szCs w:val="32"/>
        </w:rPr>
        <w:t>八、其他</w:t>
      </w:r>
    </w:p>
    <w:p w:rsidR="00020196" w:rsidRDefault="00020196" w:rsidP="00264192">
      <w:pPr>
        <w:adjustRightInd w:val="0"/>
        <w:snapToGrid w:val="0"/>
        <w:spacing w:line="560" w:lineRule="exact"/>
        <w:ind w:firstLineChars="200" w:firstLine="640"/>
        <w:rPr>
          <w:rFonts w:eastAsia="仿宋_GB2312"/>
          <w:sz w:val="32"/>
          <w:szCs w:val="32"/>
        </w:rPr>
      </w:pPr>
      <w:r>
        <w:rPr>
          <w:rFonts w:eastAsia="仿宋_GB2312"/>
          <w:sz w:val="32"/>
          <w:szCs w:val="32"/>
        </w:rPr>
        <w:t>本附件所涉及条款的最终解释权归江苏省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大学生创新创业大赛组委会所有。</w:t>
      </w:r>
      <w:bookmarkStart w:id="0" w:name="_GoBack"/>
      <w:bookmarkEnd w:id="0"/>
    </w:p>
    <w:p w:rsidR="003E02DF" w:rsidRDefault="003E02DF"/>
    <w:sectPr w:rsidR="003E02DF" w:rsidSect="00264192">
      <w:footerReference w:type="default" r:id="rId8"/>
      <w:pgSz w:w="11906" w:h="16838"/>
      <w:pgMar w:top="2098" w:right="1531" w:bottom="1701" w:left="1531"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0196" w:rsidRDefault="00020196" w:rsidP="00020196">
      <w:r>
        <w:separator/>
      </w:r>
    </w:p>
  </w:endnote>
  <w:endnote w:type="continuationSeparator" w:id="0">
    <w:p w:rsidR="00020196" w:rsidRDefault="00020196" w:rsidP="00020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DED" w:rsidRDefault="00020196">
    <w:pPr>
      <w:pStyle w:val="a4"/>
      <w:ind w:right="360" w:firstLine="360"/>
    </w:pPr>
    <w:r>
      <w:rPr>
        <w:noProof/>
      </w:rPr>
      <mc:AlternateContent>
        <mc:Choice Requires="wps">
          <w:drawing>
            <wp:anchor distT="0" distB="0" distL="114300" distR="114300" simplePos="0" relativeHeight="251658240" behindDoc="0" locked="0" layoutInCell="1" allowOverlap="1" wp14:anchorId="722037EC" wp14:editId="590E508B">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7DED" w:rsidRDefault="00020196">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264192">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32.85pt;margin-top:0;width:84.05pt;height:18.1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" filled="f" stroked="f">
              <v:textbox style="mso-fit-shape-to-text:t" inset="0,0,0,0">
                <w:txbxContent>
                  <w:p w:rsidR="001A7DED" w:rsidRDefault="00020196">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264192">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0196" w:rsidRDefault="00020196" w:rsidP="00020196">
      <w:r>
        <w:separator/>
      </w:r>
    </w:p>
  </w:footnote>
  <w:footnote w:type="continuationSeparator" w:id="0">
    <w:p w:rsidR="00020196" w:rsidRDefault="00020196" w:rsidP="000201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6177E"/>
    <w:multiLevelType w:val="singleLevel"/>
    <w:tmpl w:val="FFF6177E"/>
    <w:lvl w:ilvl="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FD5"/>
    <w:rsid w:val="00020196"/>
    <w:rsid w:val="00264192"/>
    <w:rsid w:val="003E02DF"/>
    <w:rsid w:val="005B6F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0196"/>
    <w:rPr>
      <w:sz w:val="18"/>
      <w:szCs w:val="18"/>
    </w:rPr>
  </w:style>
  <w:style w:type="paragraph" w:styleId="a4">
    <w:name w:val="footer"/>
    <w:basedOn w:val="a"/>
    <w:link w:val="Char0"/>
    <w:unhideWhenUsed/>
    <w:rsid w:val="0002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020196"/>
    <w:rPr>
      <w:sz w:val="18"/>
      <w:szCs w:val="18"/>
    </w:rPr>
  </w:style>
  <w:style w:type="paragraph" w:styleId="HTML">
    <w:name w:val="HTML Preformatted"/>
    <w:basedOn w:val="a"/>
    <w:link w:val="HTMLChar"/>
    <w:rsid w:val="00020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020196"/>
    <w:rPr>
      <w:rFonts w:ascii="Courier New" w:eastAsia="宋体" w:hAnsi="Courier New" w:cs="Times New Roman"/>
      <w:sz w:val="20"/>
      <w:szCs w:val="20"/>
    </w:rPr>
  </w:style>
  <w:style w:type="paragraph" w:styleId="a5">
    <w:name w:val="Normal (Web)"/>
    <w:basedOn w:val="a"/>
    <w:rsid w:val="00020196"/>
    <w:rPr>
      <w:sz w:val="24"/>
      <w:szCs w:val="21"/>
    </w:rPr>
  </w:style>
  <w:style w:type="character" w:styleId="a6">
    <w:name w:val="page number"/>
    <w:rsid w:val="000201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1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01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0196"/>
    <w:rPr>
      <w:sz w:val="18"/>
      <w:szCs w:val="18"/>
    </w:rPr>
  </w:style>
  <w:style w:type="paragraph" w:styleId="a4">
    <w:name w:val="footer"/>
    <w:basedOn w:val="a"/>
    <w:link w:val="Char0"/>
    <w:unhideWhenUsed/>
    <w:rsid w:val="00020196"/>
    <w:pPr>
      <w:tabs>
        <w:tab w:val="center" w:pos="4153"/>
        <w:tab w:val="right" w:pos="8306"/>
      </w:tabs>
      <w:snapToGrid w:val="0"/>
      <w:jc w:val="left"/>
    </w:pPr>
    <w:rPr>
      <w:sz w:val="18"/>
      <w:szCs w:val="18"/>
    </w:rPr>
  </w:style>
  <w:style w:type="character" w:customStyle="1" w:styleId="Char0">
    <w:name w:val="页脚 Char"/>
    <w:basedOn w:val="a0"/>
    <w:link w:val="a4"/>
    <w:uiPriority w:val="99"/>
    <w:rsid w:val="00020196"/>
    <w:rPr>
      <w:sz w:val="18"/>
      <w:szCs w:val="18"/>
    </w:rPr>
  </w:style>
  <w:style w:type="paragraph" w:styleId="HTML">
    <w:name w:val="HTML Preformatted"/>
    <w:basedOn w:val="a"/>
    <w:link w:val="HTMLChar"/>
    <w:rsid w:val="000201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020196"/>
    <w:rPr>
      <w:rFonts w:ascii="Courier New" w:eastAsia="宋体" w:hAnsi="Courier New" w:cs="Times New Roman"/>
      <w:sz w:val="20"/>
      <w:szCs w:val="20"/>
    </w:rPr>
  </w:style>
  <w:style w:type="paragraph" w:styleId="a5">
    <w:name w:val="Normal (Web)"/>
    <w:basedOn w:val="a"/>
    <w:rsid w:val="00020196"/>
    <w:rPr>
      <w:sz w:val="24"/>
      <w:szCs w:val="21"/>
    </w:rPr>
  </w:style>
  <w:style w:type="character" w:styleId="a6">
    <w:name w:val="page number"/>
    <w:rsid w:val="000201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326</Words>
  <Characters>1861</Characters>
  <Application>Microsoft Office Word</Application>
  <DocSecurity>0</DocSecurity>
  <Lines>15</Lines>
  <Paragraphs>4</Paragraphs>
  <ScaleCrop>false</ScaleCrop>
  <Company>JSJYT</Company>
  <LinksUpToDate>false</LinksUpToDate>
  <CharactersWithSpaces>2183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2022-05-06T07:22:00Z</dcterms:created>
  <dcterms:modified xsi:type="dcterms:W3CDTF">2022-05-06T07:25:00Z</dcterms:modified>
</cp:coreProperties>
</file>