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A67" w:rsidRDefault="002D7A67">
      <w:pPr>
        <w:ind w:firstLineChars="200" w:firstLine="420"/>
        <w:rPr>
          <w:rFonts w:ascii="Times New Roman" w:hAnsi="Times New Roman" w:cs="Times New Roman"/>
          <w:color w:val="000000" w:themeColor="text1"/>
          <w:szCs w:val="21"/>
        </w:rPr>
      </w:pPr>
      <w:bookmarkStart w:id="0" w:name="_GoBack"/>
      <w:bookmarkEnd w:id="0"/>
    </w:p>
    <w:p w:rsidR="002D7A67" w:rsidRPr="00FA24AA" w:rsidRDefault="001D2189" w:rsidP="00FA24AA">
      <w:pPr>
        <w:spacing w:line="640" w:lineRule="exact"/>
        <w:jc w:val="center"/>
        <w:rPr>
          <w:rFonts w:ascii="Times New Roman" w:eastAsia="华文中宋" w:hAnsi="Times New Roman" w:cs="Times New Roman"/>
          <w:b/>
          <w:color w:val="000000" w:themeColor="text1"/>
          <w:sz w:val="44"/>
          <w:szCs w:val="44"/>
        </w:rPr>
      </w:pPr>
      <w:r w:rsidRPr="00FA24AA">
        <w:rPr>
          <w:rFonts w:ascii="Times New Roman" w:eastAsia="华文中宋" w:hAnsi="Times New Roman" w:cs="Times New Roman" w:hint="eastAsia"/>
          <w:b/>
          <w:color w:val="000000" w:themeColor="text1"/>
          <w:sz w:val="44"/>
          <w:szCs w:val="44"/>
        </w:rPr>
        <w:t>江苏省普通</w:t>
      </w:r>
      <w:r w:rsidRPr="00FA24AA">
        <w:rPr>
          <w:rFonts w:ascii="Times New Roman" w:eastAsia="华文中宋" w:hAnsi="Times New Roman" w:cs="Times New Roman"/>
          <w:b/>
          <w:color w:val="000000" w:themeColor="text1"/>
          <w:sz w:val="44"/>
          <w:szCs w:val="44"/>
        </w:rPr>
        <w:t>高中</w:t>
      </w:r>
      <w:r w:rsidRPr="00FA24AA">
        <w:rPr>
          <w:rFonts w:ascii="Times New Roman" w:eastAsia="华文中宋" w:hAnsi="Times New Roman" w:cs="Times New Roman" w:hint="eastAsia"/>
          <w:b/>
          <w:color w:val="000000" w:themeColor="text1"/>
          <w:sz w:val="44"/>
          <w:szCs w:val="44"/>
        </w:rPr>
        <w:t>星级</w:t>
      </w:r>
      <w:r w:rsidRPr="00FA24AA">
        <w:rPr>
          <w:rFonts w:ascii="Times New Roman" w:eastAsia="华文中宋" w:hAnsi="Times New Roman" w:cs="Times New Roman"/>
          <w:b/>
          <w:color w:val="000000" w:themeColor="text1"/>
          <w:sz w:val="44"/>
          <w:szCs w:val="44"/>
        </w:rPr>
        <w:t>评估标准及评价细则</w:t>
      </w:r>
    </w:p>
    <w:p w:rsidR="002D7A67" w:rsidRDefault="001D2189" w:rsidP="00FA24AA">
      <w:pPr>
        <w:spacing w:line="640" w:lineRule="exact"/>
        <w:ind w:rightChars="355" w:right="745"/>
        <w:jc w:val="center"/>
        <w:rPr>
          <w:rFonts w:ascii="Times New Roman" w:eastAsia="宋体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宋体" w:hAnsi="Times New Roman" w:cs="Times New Roman"/>
          <w:b/>
          <w:color w:val="000000" w:themeColor="text1"/>
          <w:sz w:val="28"/>
          <w:szCs w:val="28"/>
        </w:rPr>
        <w:t>（</w:t>
      </w:r>
      <w:r>
        <w:rPr>
          <w:rFonts w:ascii="Times New Roman" w:eastAsia="华文中宋" w:hAnsi="Times New Roman" w:cs="Times New Roman" w:hint="eastAsia"/>
          <w:b/>
          <w:color w:val="000000" w:themeColor="text1"/>
          <w:sz w:val="36"/>
          <w:szCs w:val="36"/>
        </w:rPr>
        <w:t>四</w:t>
      </w:r>
      <w:r>
        <w:rPr>
          <w:rFonts w:ascii="Times New Roman" w:eastAsia="华文中宋" w:hAnsi="Times New Roman" w:cs="Times New Roman"/>
          <w:b/>
          <w:color w:val="000000" w:themeColor="text1"/>
          <w:sz w:val="36"/>
          <w:szCs w:val="36"/>
        </w:rPr>
        <w:t>星级</w:t>
      </w:r>
      <w:r>
        <w:rPr>
          <w:rFonts w:ascii="Times New Roman" w:eastAsia="宋体" w:hAnsi="Times New Roman" w:cs="Times New Roman"/>
          <w:b/>
          <w:color w:val="000000" w:themeColor="text1"/>
          <w:sz w:val="28"/>
          <w:szCs w:val="28"/>
        </w:rPr>
        <w:t>）</w:t>
      </w:r>
    </w:p>
    <w:p w:rsidR="002D7A67" w:rsidRDefault="002D7A67">
      <w:pPr>
        <w:ind w:rightChars="355" w:right="745"/>
        <w:rPr>
          <w:rFonts w:ascii="Times New Roman" w:eastAsia="黑体" w:hAnsi="Times New Roman" w:cs="Times New Roman"/>
          <w:b/>
          <w:color w:val="000000" w:themeColor="text1"/>
          <w:szCs w:val="21"/>
        </w:rPr>
      </w:pPr>
    </w:p>
    <w:p w:rsidR="002D7A67" w:rsidRDefault="001D2189">
      <w:pPr>
        <w:ind w:rightChars="355" w:right="745"/>
        <w:rPr>
          <w:rFonts w:ascii="Times New Roman" w:eastAsia="黑体" w:hAnsi="Times New Roman" w:cs="Times New Roman"/>
          <w:b/>
          <w:color w:val="000000" w:themeColor="text1"/>
          <w:szCs w:val="21"/>
        </w:rPr>
      </w:pPr>
      <w:r>
        <w:rPr>
          <w:rFonts w:ascii="Times New Roman" w:eastAsia="黑体" w:hAnsi="Times New Roman" w:cs="Times New Roman"/>
          <w:b/>
          <w:color w:val="000000" w:themeColor="text1"/>
          <w:szCs w:val="21"/>
        </w:rPr>
        <w:t>达标等级评定说明</w:t>
      </w:r>
      <w:r>
        <w:rPr>
          <w:rFonts w:ascii="Times New Roman" w:eastAsia="黑体" w:hAnsi="Times New Roman" w:cs="Times New Roman"/>
          <w:b/>
          <w:color w:val="000000" w:themeColor="text1"/>
          <w:szCs w:val="21"/>
        </w:rPr>
        <w:t>:</w:t>
      </w:r>
    </w:p>
    <w:p w:rsidR="002D7A67" w:rsidRDefault="001D2189">
      <w:pPr>
        <w:ind w:rightChars="355" w:right="745"/>
        <w:rPr>
          <w:rFonts w:ascii="Times New Roman" w:eastAsia="宋体" w:hAnsi="Times New Roman" w:cs="Times New Roman"/>
          <w:color w:val="000000" w:themeColor="text1"/>
          <w:szCs w:val="21"/>
        </w:rPr>
      </w:pPr>
      <w:r>
        <w:rPr>
          <w:rFonts w:ascii="Times New Roman" w:eastAsia="宋体" w:hAnsi="Times New Roman" w:cs="Times New Roman"/>
          <w:color w:val="000000" w:themeColor="text1"/>
          <w:szCs w:val="21"/>
        </w:rPr>
        <w:t xml:space="preserve">1. 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单项达标程度分达标（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A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）、未完全达标（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B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）、不达标（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C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）三级</w:t>
      </w:r>
    </w:p>
    <w:p w:rsidR="002D7A67" w:rsidRDefault="001D2189">
      <w:pPr>
        <w:spacing w:afterLines="50" w:after="156"/>
        <w:ind w:rightChars="355" w:right="745"/>
        <w:rPr>
          <w:rFonts w:ascii="Times New Roman" w:eastAsia="宋体" w:hAnsi="Times New Roman" w:cs="Times New Roman"/>
          <w:color w:val="000000" w:themeColor="text1"/>
          <w:szCs w:val="21"/>
        </w:rPr>
      </w:pPr>
      <w:r>
        <w:rPr>
          <w:rFonts w:ascii="Times New Roman" w:eastAsia="宋体" w:hAnsi="Times New Roman" w:cs="Times New Roman"/>
          <w:color w:val="000000" w:themeColor="text1"/>
          <w:szCs w:val="21"/>
        </w:rPr>
        <w:t xml:space="preserve">2. 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凡达到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A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级细则全部要求的为达标（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A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），不完全符合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A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级要求又非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C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级细则所列情况之一的为未完全达标（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B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）</w:t>
      </w:r>
      <w:r>
        <w:rPr>
          <w:rFonts w:ascii="Times New Roman" w:eastAsia="宋体" w:hAnsi="Times New Roman" w:cs="Times New Roman" w:hint="eastAsia"/>
          <w:color w:val="000000" w:themeColor="text1"/>
          <w:szCs w:val="21"/>
        </w:rPr>
        <w:t>，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符合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C</w:t>
      </w:r>
      <w:r w:rsidR="00745FC9">
        <w:rPr>
          <w:rFonts w:ascii="Times New Roman" w:eastAsia="宋体" w:hAnsi="Times New Roman" w:cs="Times New Roman"/>
          <w:color w:val="000000" w:themeColor="text1"/>
          <w:szCs w:val="21"/>
        </w:rPr>
        <w:t>级细则所列现象</w:t>
      </w:r>
      <w:r w:rsidR="00745FC9">
        <w:rPr>
          <w:rFonts w:ascii="Times New Roman" w:eastAsia="宋体" w:hAnsi="Times New Roman" w:cs="Times New Roman" w:hint="eastAsia"/>
          <w:color w:val="000000" w:themeColor="text1"/>
          <w:szCs w:val="21"/>
        </w:rPr>
        <w:t>任何一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条的为不达标（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C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）</w:t>
      </w:r>
    </w:p>
    <w:tbl>
      <w:tblPr>
        <w:tblW w:w="91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1942"/>
        <w:gridCol w:w="3642"/>
        <w:gridCol w:w="2952"/>
      </w:tblGrid>
      <w:tr w:rsidR="002D7A67" w:rsidTr="00745FC9">
        <w:trPr>
          <w:trHeight w:val="469"/>
          <w:tblHeader/>
          <w:jc w:val="center"/>
        </w:trPr>
        <w:tc>
          <w:tcPr>
            <w:tcW w:w="2583" w:type="dxa"/>
            <w:gridSpan w:val="2"/>
            <w:vMerge w:val="restart"/>
            <w:tcBorders>
              <w:left w:val="single" w:sz="4" w:space="0" w:color="auto"/>
            </w:tcBorders>
            <w:vAlign w:val="center"/>
          </w:tcPr>
          <w:p w:rsidR="002D7A67" w:rsidRDefault="001D2189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</w:rPr>
              <w:t>评价指标及标准</w:t>
            </w:r>
          </w:p>
        </w:tc>
        <w:tc>
          <w:tcPr>
            <w:tcW w:w="6594" w:type="dxa"/>
            <w:gridSpan w:val="2"/>
            <w:shd w:val="clear" w:color="auto" w:fill="auto"/>
            <w:vAlign w:val="center"/>
          </w:tcPr>
          <w:p w:rsidR="002D7A67" w:rsidRDefault="001D2189">
            <w:pPr>
              <w:jc w:val="center"/>
              <w:rPr>
                <w:rFonts w:ascii="Times New Roman" w:eastAsia="宋体" w:hAnsi="Times New Roman" w:cs="Times New Roman"/>
                <w:b/>
                <w:color w:val="000000" w:themeColor="text1"/>
                <w:szCs w:val="24"/>
              </w:rPr>
            </w:pPr>
            <w:r>
              <w:rPr>
                <w:rFonts w:ascii="Times New Roman" w:eastAsia="宋体" w:hAnsi="Times New Roman" w:cs="Times New Roman"/>
                <w:b/>
                <w:color w:val="000000" w:themeColor="text1"/>
                <w:szCs w:val="24"/>
              </w:rPr>
              <w:t>评</w:t>
            </w:r>
            <w:r>
              <w:rPr>
                <w:rFonts w:ascii="Times New Roman" w:eastAsia="宋体" w:hAnsi="Times New Roman" w:cs="Times New Roman" w:hint="eastAsia"/>
                <w:b/>
                <w:color w:val="000000" w:themeColor="text1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b/>
                <w:color w:val="000000" w:themeColor="text1"/>
                <w:szCs w:val="24"/>
              </w:rPr>
              <w:t>价</w:t>
            </w:r>
            <w:r>
              <w:rPr>
                <w:rFonts w:ascii="Times New Roman" w:eastAsia="宋体" w:hAnsi="Times New Roman" w:cs="Times New Roman" w:hint="eastAsia"/>
                <w:b/>
                <w:color w:val="000000" w:themeColor="text1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b/>
                <w:color w:val="000000" w:themeColor="text1"/>
                <w:szCs w:val="24"/>
              </w:rPr>
              <w:t>细</w:t>
            </w:r>
            <w:r>
              <w:rPr>
                <w:rFonts w:ascii="Times New Roman" w:eastAsia="宋体" w:hAnsi="Times New Roman" w:cs="Times New Roman" w:hint="eastAsia"/>
                <w:b/>
                <w:color w:val="000000" w:themeColor="text1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b/>
                <w:color w:val="000000" w:themeColor="text1"/>
                <w:szCs w:val="24"/>
              </w:rPr>
              <w:t>则</w:t>
            </w:r>
          </w:p>
        </w:tc>
      </w:tr>
      <w:tr w:rsidR="002D7A67" w:rsidTr="00745FC9">
        <w:trPr>
          <w:trHeight w:val="413"/>
          <w:tblHeader/>
          <w:jc w:val="center"/>
        </w:trPr>
        <w:tc>
          <w:tcPr>
            <w:tcW w:w="2583" w:type="dxa"/>
            <w:gridSpan w:val="2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7A67" w:rsidRDefault="002D7A67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3642" w:type="dxa"/>
            <w:shd w:val="clear" w:color="auto" w:fill="auto"/>
            <w:vAlign w:val="center"/>
          </w:tcPr>
          <w:p w:rsidR="002D7A67" w:rsidRDefault="001D2189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</w:rPr>
              <w:t>达标（</w:t>
            </w:r>
            <w:r>
              <w:rPr>
                <w:rFonts w:ascii="Times New Roman" w:hAnsi="Times New Roman" w:cs="Times New Roman"/>
                <w:b/>
                <w:color w:val="000000" w:themeColor="text1"/>
              </w:rPr>
              <w:t>A</w:t>
            </w:r>
            <w:r>
              <w:rPr>
                <w:rFonts w:ascii="Times New Roman" w:hAnsi="Times New Roman" w:cs="Times New Roman"/>
                <w:b/>
                <w:color w:val="000000" w:themeColor="text1"/>
              </w:rPr>
              <w:t>）</w:t>
            </w:r>
          </w:p>
        </w:tc>
        <w:tc>
          <w:tcPr>
            <w:tcW w:w="2952" w:type="dxa"/>
            <w:shd w:val="clear" w:color="auto" w:fill="auto"/>
            <w:vAlign w:val="center"/>
          </w:tcPr>
          <w:p w:rsidR="002D7A67" w:rsidRDefault="001D2189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</w:rPr>
              <w:t>不达标（</w:t>
            </w:r>
            <w:r>
              <w:rPr>
                <w:rFonts w:ascii="Times New Roman" w:hAnsi="Times New Roman" w:cs="Times New Roman"/>
                <w:b/>
                <w:color w:val="000000" w:themeColor="text1"/>
              </w:rPr>
              <w:t>C</w:t>
            </w:r>
            <w:r>
              <w:rPr>
                <w:rFonts w:ascii="Times New Roman" w:hAnsi="Times New Roman" w:cs="Times New Roman"/>
                <w:b/>
                <w:color w:val="000000" w:themeColor="text1"/>
              </w:rPr>
              <w:t>）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一</w:t>
            </w:r>
          </w:p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办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学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条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件</w:t>
            </w: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学校独立设置。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规模在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30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个班以上，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平均班额</w:t>
            </w:r>
            <w:r w:rsidR="00B26171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达标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。生均占地面积不少于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30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平方米（老城区学校不少于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25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平方米）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，新建学校不少于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66667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平方米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。校园校舍满足师生学习、生活的需要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  <w:tc>
          <w:tcPr>
            <w:tcW w:w="3642" w:type="dxa"/>
          </w:tcPr>
          <w:p w:rsidR="0096626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）专门举办高中学历教育的独立法人，校园内外均未主办义务教育段学校；同一校名下无独立法人高中分校、校区及义务教育段学校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96626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）办学规模适度，一般在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10-16</w:t>
            </w:r>
            <w:proofErr w:type="gramStart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轨</w:t>
            </w:r>
            <w:proofErr w:type="gramEnd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之间，平均班额不超过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50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人，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无高考补习班或插班复读生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96626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）生均校园占地面积不少于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平方米（老城区学校不少于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平方米）。新建学校不少于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66667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96626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）学校有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8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跑道（塑胶）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400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米标准田径运动场，城市学校（新建校除外）不低于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跑道（塑胶）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300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米；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20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以上学校、设有分校区的学校应有两个标准田径运动场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96626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）拥有各类运动场地、体育馆（风雨操场）；生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均活动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面积（含田径运动场、体育馆和其他运动场地等，不含楼顶空地、道路、走廊）不少于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8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平方米；体育器械丰富，能够满足正常体育教学和活动需要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）生均校舍（不含宿舍）建筑面积不少于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平方米，生均宿舍建筑面积不少于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4.5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平方米且卫生设施齐全方便，能较好地满足符合住宿学生需求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DF2F03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计算口径：</w:t>
            </w:r>
          </w:p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——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不达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轨的学校，学生总数的计算基数为标准规模（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个班）、班额（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人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/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班）的总和（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1500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人），即申报学校校园面积不少于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45000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平方米，新建学校不少于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66667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平方米；校舍（不含宿舍）建筑面积不少于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22500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——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核算生均资源时，需将所有在籍、在校学生纳入计算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——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分部或同一校名、同一法人校区的生均资源需单独核算，不能混合后计算平均数据（下同）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）初高中在同一校园内或初高中同一法人，未真正分设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办学规模少于</w:t>
            </w:r>
            <w:r w:rsidR="00673EB9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8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轨，或超过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20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轨，或平均班额超过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54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人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）生均校园占地面积低于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平方米（老城区学校低于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平方米）的标准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）生均校舍建筑面积（不含宿舍）低于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平方米的标准，或生均宿舍建筑面积低于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4.5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平方米标准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）无标准田径运动场或无风雨操场（体育馆），或生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均活动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面积少于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8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平方米标准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</w:t>
            </w:r>
            <w:r w:rsidR="00802D93">
              <w:rPr>
                <w:rFonts w:ascii="Times New Roman" w:hAnsi="Times New Roman" w:cs="Times New Roman"/>
                <w:color w:val="000000" w:themeColor="text1"/>
                <w:szCs w:val="21"/>
              </w:rPr>
              <w:t>）举办高考补习班、招收插班复读生</w:t>
            </w:r>
            <w:r w:rsidR="00802D9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或违反省普通高中学籍管理规定，存在违规招生等行为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学校教学、生活各类设备设施齐全，配置先进。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建成智慧校园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，信息技术、人工智能运用水平较高。信息技术等先进技术对学校个性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化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发展形成支撑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）图书馆达省二级图书馆及以上，图书馆使用面积不少于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1260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轨制以上学校的图书馆使用面积应根据在校生的实际使用需求增加。生均纸质藏书不少于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册，有校内运行的电子图书馆系统，实行开放式、自动化管理，图书流通率高，年生均借阅图书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册以上。学生报刊种类丰富；阅览室座位达到学生数的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1/10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；电子阅览室电脑不少于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100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台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673EB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）音乐室、美术室等用房及设施设备充足。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制左右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学校的美术教室、音乐教室分别按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个的数量要求配置，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20</w:t>
            </w:r>
            <w:r w:rsidR="00673EB9">
              <w:rPr>
                <w:rFonts w:ascii="Times New Roman" w:hAnsi="Times New Roman" w:cs="Times New Roman"/>
                <w:color w:val="000000" w:themeColor="text1"/>
                <w:szCs w:val="21"/>
              </w:rPr>
              <w:t>轨制以上学校应适量增加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Pr="00673EB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 w:rsidR="00653E40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10</w:t>
            </w:r>
            <w:r w:rsidR="00653E40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~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12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轨制学校的理、化、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生普通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类标准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实验室按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配备，有规范的仪器室、药品室、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准备室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以及标本室等。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13</w:t>
            </w:r>
            <w:r w:rsidR="005F79C4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轨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制以上学校的理、化、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生普通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类标准实验室在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配备基础上，按照选科情况和开齐开足实验要求增加相关实验室数量（含美术、音乐、体育等专用实验室</w:t>
            </w:r>
            <w:r w:rsidR="00F76B9E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也需</w:t>
            </w:r>
            <w:r w:rsidR="00F76B9E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lastRenderedPageBreak/>
              <w:t>相应增加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）。其中：</w:t>
            </w:r>
            <w:r w:rsidR="0011196C">
              <w:rPr>
                <w:rFonts w:ascii="Times New Roman" w:hAnsi="Times New Roman" w:cs="Times New Roman"/>
                <w:color w:val="000000" w:themeColor="text1"/>
                <w:szCs w:val="21"/>
              </w:rPr>
              <w:t>13</w:t>
            </w:r>
            <w:r w:rsidR="0011196C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~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轨制学校，理、化、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生普通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类标准实验室总数至少增加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个（优先配备物理实验室）；</w:t>
            </w:r>
            <w:r w:rsidR="00653E40">
              <w:rPr>
                <w:rFonts w:ascii="Times New Roman" w:hAnsi="Times New Roman" w:cs="Times New Roman"/>
                <w:color w:val="000000" w:themeColor="text1"/>
                <w:szCs w:val="21"/>
              </w:rPr>
              <w:t>14</w:t>
            </w:r>
            <w:r w:rsidR="00653E40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~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轨制学校，理、化、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生普通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类标准实验室需各增加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个；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17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轨制以上学校，理、化、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生普通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类标准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实验室数在</w:t>
            </w:r>
            <w:proofErr w:type="gramEnd"/>
            <w:r w:rsidR="00653E40">
              <w:rPr>
                <w:rFonts w:ascii="Times New Roman" w:hAnsi="Times New Roman" w:cs="Times New Roman"/>
                <w:color w:val="000000" w:themeColor="text1"/>
                <w:szCs w:val="21"/>
              </w:rPr>
              <w:t>14</w:t>
            </w:r>
            <w:r w:rsidR="00653E40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~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轨制配备要求基础上同比增加</w:t>
            </w:r>
            <w:r w:rsidR="00673EB9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  <w:r w:rsidR="00673EB9">
              <w:rPr>
                <w:rFonts w:ascii="Times New Roman" w:hAnsi="Times New Roman" w:cs="Times New Roman"/>
                <w:color w:val="000000" w:themeColor="text1"/>
                <w:szCs w:val="21"/>
              </w:rPr>
              <w:t>能根据</w:t>
            </w:r>
            <w:r w:rsidR="00673EB9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学</w:t>
            </w:r>
            <w:r w:rsidR="00673EB9">
              <w:rPr>
                <w:rFonts w:ascii="Times New Roman" w:hAnsi="Times New Roman" w:cs="Times New Roman"/>
                <w:color w:val="000000" w:themeColor="text1"/>
                <w:szCs w:val="21"/>
              </w:rPr>
              <w:t>校人才培养需要，装备设施设备先进的探索、创新、数字等各类特色实验室，但不抵算理、化、</w:t>
            </w:r>
            <w:proofErr w:type="gramStart"/>
            <w:r w:rsidR="00673EB9">
              <w:rPr>
                <w:rFonts w:ascii="Times New Roman" w:hAnsi="Times New Roman" w:cs="Times New Roman"/>
                <w:color w:val="000000" w:themeColor="text1"/>
                <w:szCs w:val="21"/>
              </w:rPr>
              <w:t>生普通</w:t>
            </w:r>
            <w:proofErr w:type="gramEnd"/>
            <w:r w:rsidR="00673EB9">
              <w:rPr>
                <w:rFonts w:ascii="Times New Roman" w:hAnsi="Times New Roman" w:cs="Times New Roman"/>
                <w:color w:val="000000" w:themeColor="text1"/>
                <w:szCs w:val="21"/>
              </w:rPr>
              <w:t>类标准实验室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轨制学校至少配备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个通用技术实践室，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12</w:t>
            </w:r>
            <w:r w:rsidR="002720EF">
              <w:rPr>
                <w:rFonts w:ascii="Times New Roman" w:hAnsi="Times New Roman" w:cs="Times New Roman"/>
                <w:color w:val="000000" w:themeColor="text1"/>
                <w:szCs w:val="21"/>
              </w:rPr>
              <w:t>轨制以上学校需适</w:t>
            </w:r>
            <w:r w:rsidR="002720EF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当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增加通用技术实践室，规模每增加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轨需增加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通用技术实践室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  <w:r w:rsidR="00F76B9E">
              <w:rPr>
                <w:rFonts w:ascii="Times New Roman" w:hAnsi="Times New Roman" w:cs="Times New Roman"/>
                <w:color w:val="000000" w:themeColor="text1"/>
                <w:szCs w:val="21"/>
              </w:rPr>
              <w:t>）学生食堂满足师生用餐需要，安全卫生和设施设备达到地方规定的</w:t>
            </w:r>
            <w:r w:rsidR="00F76B9E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合格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标准。餐厅面积和餐位数能满足师生就餐的需求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）卫生室使用面积不少于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60</w:t>
            </w:r>
            <w:r w:rsidR="002720EF"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平方米，轨</w:t>
            </w:r>
            <w:proofErr w:type="gramStart"/>
            <w:r w:rsidR="002720EF">
              <w:rPr>
                <w:rFonts w:ascii="Times New Roman" w:hAnsi="Times New Roman" w:cs="Times New Roman"/>
                <w:color w:val="000000" w:themeColor="text1"/>
                <w:szCs w:val="21"/>
              </w:rPr>
              <w:t>制较大</w:t>
            </w:r>
            <w:proofErr w:type="gramEnd"/>
            <w:r w:rsidR="002720EF">
              <w:rPr>
                <w:rFonts w:ascii="Times New Roman" w:hAnsi="Times New Roman" w:cs="Times New Roman"/>
                <w:color w:val="000000" w:themeColor="text1"/>
                <w:szCs w:val="21"/>
              </w:rPr>
              <w:t>的学校需适</w:t>
            </w:r>
            <w:r w:rsidR="002720EF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当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增加卫生室使用面积；有适应学校卫生工作需要的功能分区；按规定配置常用器械及药品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7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教室及各类专用教室均有先进的多媒体教学设备并运用充分，有丰富的数字化资源教育教学，供学生使用的电脑数量充足，并保证正常使用。制定实施智慧校园建设规划，智慧校园建设与使用成效显著，拥有有线与无线双网覆</w:t>
            </w:r>
            <w:r w:rsidR="00F76B9E">
              <w:rPr>
                <w:rFonts w:ascii="Times New Roman" w:hAnsi="Times New Roman" w:cs="Times New Roman"/>
                <w:color w:val="000000" w:themeColor="text1"/>
                <w:szCs w:val="21"/>
              </w:rPr>
              <w:t>盖的网络环境，有统一的数据共享平台和综合信息服务平台，初步形成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信息获取和信息产生的</w:t>
            </w:r>
            <w:r w:rsidRPr="00A750DF">
              <w:rPr>
                <w:rFonts w:ascii="Times New Roman" w:hAnsi="Times New Roman" w:cs="Times New Roman"/>
                <w:color w:val="000000" w:themeColor="text1"/>
                <w:szCs w:val="21"/>
              </w:rPr>
              <w:t>泛在环境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，人工智能、大数据、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云计算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呈现于办学过程，人工智能等现代技术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对学校个性化发展形成有力支撑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r w:rsidR="00DF2F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）图书馆使用面积少于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1260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平方米，或超过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12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</w:t>
            </w:r>
            <w:r w:rsidR="005F79C4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制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但图书馆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使用面积未同比增加，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或生均纸质藏书数量低于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45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册，或年生均借阅图书少于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20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册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）音乐室、美术室没有按标准配置，或教具设施不能满足课程实施需求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轨制学校的理、化、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生普通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类标准实验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室基本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配置低于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比例要求；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轨制学校的理、化、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生普通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类标准实验室总量少于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个；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17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轨制及以上学校的理、化、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生普通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类标准实验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室数未能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同比增加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轨制学校通用技术实践室配备少于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个；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轨制以上学校未能在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个通用技术实践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室基础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上同比增加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）食堂</w:t>
            </w:r>
            <w:r w:rsidR="00F76B9E">
              <w:rPr>
                <w:rFonts w:ascii="Times New Roman" w:hAnsi="Times New Roman" w:cs="Times New Roman"/>
                <w:color w:val="000000" w:themeColor="text1"/>
                <w:szCs w:val="21"/>
              </w:rPr>
              <w:t>不能满足师生就餐</w:t>
            </w:r>
            <w:r w:rsidR="00F76B9E"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需求，或安全卫生和设施设备没有达到地方规定的</w:t>
            </w:r>
            <w:r w:rsidR="00F76B9E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合格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标准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）卫生室</w:t>
            </w:r>
            <w:r w:rsidR="00F76B9E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使用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面积不足，或无明确的功能区，或常用医疗器械和药品不齐全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F76B9E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7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）智慧校园建设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明显</w:t>
            </w:r>
            <w:r w:rsidR="00F76B9E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滞后</w:t>
            </w:r>
            <w:r w:rsidR="001B0CB8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或教室和各类专用教室无先进的多媒体教学设备，或学生使用的电脑数量不足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3.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校园布局合理，环境优美。环境设计独特，内涵丰富。人文气息浓郁，文化品位高，形成和谐、健康、积极向上的氛围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）校园布局合理，教学区、运动区、生活区三区分开，图书馆、实验室、信息中心的布局便于使用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）建筑、道路、绿化、文化景点等设计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体现办学理念，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有整体规划，有个性特点，有较高的文化品位，形成和谐、健康、积极向上的教育氛围。文化景点具有传承性、教育性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）学校布局不合理，校园环境缺乏文化品位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）校舍有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C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D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级危房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(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不含认定的文物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)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学校办学经费满足办学需求，生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均教学</w:t>
            </w:r>
            <w:proofErr w:type="gramEnd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仪器设备值不低于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8000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元。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学校经费收支平衡，无负债，或负债在合理范围，且债务化解成效显著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）财政安排的办学经费满足办学需求，生均公用经费</w:t>
            </w:r>
            <w:r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达到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省定标准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）财政能适时安排改善办学条件经费，保障校舍设施得到及时维修、保养，教育教学设备得到及时添置、更换、升级等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B87665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）</w:t>
            </w:r>
            <w:r w:rsidR="00B87665" w:rsidRPr="00B87665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依法保障教职工工资福利</w:t>
            </w:r>
            <w:r w:rsidR="00B87665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待遇，确保教师平均工资收入水平不低于当地公务员平均工资收入水平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）生</w:t>
            </w:r>
            <w:proofErr w:type="gramStart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均教学</w:t>
            </w:r>
            <w:proofErr w:type="gramEnd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仪器设备值不低于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 xml:space="preserve"> 8000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元（已无法使用或按规定应该报废的需扣除）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5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）办学经费收支平衡，无负债，或负债在合理范围</w:t>
            </w:r>
            <w:r w:rsidR="006C0BC4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，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且债务化解成效显著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）生均公用经费低于省定标准，或生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均教学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仪器设备值低于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8000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元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96626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）财政未适时安排改善办学条件经费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96626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）存在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拖欠教师</w:t>
            </w:r>
            <w:r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工资，或降低教师福利待遇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现象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2D7A67" w:rsidRPr="00966269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）学校</w:t>
            </w:r>
            <w:r w:rsidRPr="008C04CB">
              <w:rPr>
                <w:rFonts w:ascii="Times New Roman" w:hAnsi="Times New Roman" w:cs="Times New Roman"/>
                <w:color w:val="000000" w:themeColor="text1"/>
                <w:szCs w:val="21"/>
              </w:rPr>
              <w:t>债务</w:t>
            </w:r>
            <w:r w:rsidRPr="008C04C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重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，化解措施不力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二</w:t>
            </w:r>
          </w:p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队</w:t>
            </w:r>
          </w:p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伍</w:t>
            </w:r>
          </w:p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建</w:t>
            </w:r>
          </w:p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设</w:t>
            </w: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校长有先进的办学理念、独特的办学思想，改革创新意识强，精于管理，深入教学一线，对教育教学有较为深入的研究。主持过省及以上课题的研究或改革项目的实施，科研成果在设区市范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围内有较大影响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）校长符合省定校长任职资质，从事教育工作不少于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年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办学理念先进，改革创新意识强，善于运用先进的教育理论管理学校，发展定位准确，思路清晰，行为规范。坚持立德树人，健全综合协调、充满活力的育人机制；优化内部管理，调适外部环境，营造育人文化，形成育人合力，任期目标达成情况好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）刻苦钻研教科研理论，研究主题切合学校管理、课程建设、教学改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革等实践，每学期至少为全校教师作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次引领性的学术讲座或教育管理类报告；近五年在省级以上报刊发表过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篇以上论文（至少有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篇学校管理类）；五年内主持过省级</w:t>
            </w:r>
            <w:r w:rsidR="006C0BC4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及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以上教育部门立项课题或改革项目，在省市范围内有较大影响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）精心组织教育教学改革，对课程改革、教师发展、学生培养和学校信息化建设具有较强的领导力。每学期听评课总数不少于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节，且覆盖面（年级、学科、活动课程）广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）办学理念陈旧，缺乏对课程改革、教师发展、学生培养和学校信息化建设的领导力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）每学期听评课（含活动课）总数少于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节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学校领导班子及管理队伍结构合理，素质优良，团结协作，有前瞻的观念、服务的意识、实干的精神，在师生员工中有较高威信，满意度高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）领导班子及干部队伍选拔任用公开透明，职数设置、年龄结构、专业结构等科学合理，学历全部达标。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95%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以上的干部在教学第一线任教。近三年，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以上的干部具有半年以上校际交流任教、支教、挂职锻炼等经历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）管理队伍整体素质高，廉洁自律、勇于担当、团结协作，有前瞻观念、服务意识、实干精神，在师生员工中有较高威信，民主测评满意度（称职率）在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90%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）近三年领导班子及中层干部中有违法犯罪行为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）师生对领导班子及干部队伍满意度（称职率）低于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85%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7.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教师师德高尚，敬业爱生，专业水平高。生师比不超过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11:1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。专任教师学历达标，硕士学位及其以上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占比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不低于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，中、高级技术职务占比不低于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。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校外兼职教师队伍稳定，符合学校课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lastRenderedPageBreak/>
              <w:t>程实施的要求。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图书馆、卫生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室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、实验室等工作人员胜任工作，有中级及以上职称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）弘扬高尚师德师风，措施扎实，成效显著，教师恪守师德规范，敬业爱生，为人师表，无以教谋私、有偿家教等违规行为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生师比达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11:1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师资配置充分满足各类课程开设的需要。专任教师学历达标率为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100%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，具有硕士学位或研究生学历的比例达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15%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以上（双本科可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1:1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换算），或含在职读研教师达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以上；具有中、高级技术职称的教师占专任教师的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）有一支相对稳定的数量足够（按班级数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1:1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配备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）、业务精湛的校外兼职教师队伍，能充分满足课程改革需要，在德育工作、校本选修、研究性学习、社会实践、社团活动等方面起到指导示范作用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）图书馆专职人员不少于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人，其中至少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人为图书管理专业出身人员。理、化、生实验室专职实验员的配备比例为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轨制学校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人，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12-16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轨制学校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人，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轨制以上需同比增加。二室人员均具有专业技术职称，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以上有中级以上专业技术职称；非图书、实验专业出身人员均经过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设区市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级及以上上岗培训，取得合格证书，并参加相应专业提高培训，能胜任工作</w:t>
            </w:r>
            <w:r w:rsidR="006C0BC4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医务室至少配备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名具有资质的医务专业人员（可聘用社区医院等医疗机构专业人员全日制在校工作），在编在校专职医务人员至少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人，寄宿制规模较大的学校需适当增加专职医务人员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 w:rsidR="00DE03B9">
              <w:rPr>
                <w:rFonts w:ascii="Times New Roman" w:hAnsi="Times New Roman" w:cs="Times New Roman"/>
                <w:color w:val="000000" w:themeColor="text1"/>
                <w:szCs w:val="21"/>
              </w:rPr>
              <w:t>）师德建设措施不力，教师</w:t>
            </w:r>
            <w:r w:rsidR="00DE03B9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存在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有偿家教等</w:t>
            </w:r>
            <w:r w:rsidR="00DE03B9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现象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，造成不良社会影响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Pr="00A750DF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2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）生师比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超过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1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3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:1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，或师资配置不能满足各类课程开设需要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校外兼职教师数量不足班级数的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2/3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，不能满足课程改革实际需要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）医务室无在编在校在职专职医务人员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，或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寄宿制学校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夜间无医务人员值守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 w:rsidTr="00BA4702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8.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重视骨干教师的培养，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优秀教师数量充足。有特级教师或正高级教师。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3/5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以上学科有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位及以上教师在设区市及以上范围内享有声誉，具有引领教师专业发展、实施课程改革的能力。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1/5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的教师在省及以上教育教学和教育科研成果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比赛中获奖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）重视骨干教师的培养，优秀教师群体已基本形成。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2/3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学科有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设区市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级以上的学科带头人，或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4/5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学科有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设区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市级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骨干教师（含教学能手、教坛新秀等）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）有本校培养的在职在编特级教师（或教授级中学高级教师、省级有突出贡献的中青年专家），或有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名及以上省特级</w:t>
            </w:r>
            <w:r>
              <w:rPr>
                <w:rFonts w:asciiTheme="minorEastAsia" w:hAnsiTheme="minorEastAsia" w:cs="Times New Roman"/>
                <w:color w:val="000000" w:themeColor="text1"/>
                <w:szCs w:val="21"/>
              </w:rPr>
              <w:t>教师“培养对象”“后备人才”（以</w:t>
            </w:r>
            <w:r>
              <w:rPr>
                <w:rFonts w:asciiTheme="minorEastAsia" w:hAnsiTheme="minorEastAsia" w:cs="Times New Roman" w:hint="eastAsia"/>
                <w:color w:val="000000" w:themeColor="text1"/>
                <w:szCs w:val="21"/>
              </w:rPr>
              <w:t>设区市</w:t>
            </w:r>
            <w:r>
              <w:rPr>
                <w:rFonts w:asciiTheme="minorEastAsia" w:hAnsiTheme="minorEastAsia" w:cs="Times New Roman"/>
                <w:color w:val="000000" w:themeColor="text1"/>
                <w:szCs w:val="21"/>
              </w:rPr>
              <w:t>文件为据）；外聘特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级教师或教授级中学高级教师近三年内全职在本校在岗。特级教师或教授级中学高级教师等在承担相应的教育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教学工作外，能较好发挥传帮带作用，在指导、引领学科建设和骨干教师培养等方面成效突出，教师认同度高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3/5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以上学科师资较强，各有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名及以上教师在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设区市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及以上范围内享有声誉，具有引领教师专业发展、实施课程改革的能力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80%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以上的教师掌握现代信息技术，能熟练应用于课堂教学、教育科研、教学管理和评估等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）近三年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以上教师在省及以上教育教学和教育科研成果比赛中获奖，有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名以上教师在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设区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级以上课堂教学竞赛中获奖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学生对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90%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以上教师的教学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工作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比较满意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shd w:val="clear" w:color="auto" w:fill="auto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2/5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以上学科无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设区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级及以上骨干教师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）利用信息技术进行教学、教研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教学管理的教师比例低于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60%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）学生对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以上教师的教学工作不满意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9.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教师培训机制健全，形式多样，效益显著。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校本培训目标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明确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，主题鲜明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。支持骨干教师、青年教师专业发展制度完备，教师自主发展与组织帮扶结合好，专业发展水平提升较快。积极开展校际交流，赴校外挂职锻炼、出国进修渠道畅通。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学校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每年用于教师学习、培训的经费占学校教师工资总额的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）教师培训制度健全、机制顺畅，有三或五年校本培训规划、年度培训计划以及配套完善的管理、评价、激励、保障制度和举措。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学习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培训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培养工作注重针对性、实效性，有较高的目标达成度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）校内外优秀教师与青年教师结对培养，制度完备、机制长效，有力助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推教师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加快专业成长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Theme="minorEastAsia" w:hAnsiTheme="minorEastAsia" w:cs="Times New Roman"/>
                <w:color w:val="000000" w:themeColor="text1"/>
                <w:szCs w:val="21"/>
              </w:rPr>
              <w:t>“派出去”“请进来”活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动有计划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有组织，形式多。近三年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10%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以上的教师具有半年以上校际交流任教、支教、挂职锻炼经历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）教师有个人专业发展规划和年度计划，</w:t>
            </w:r>
            <w:r w:rsidR="00CF3DFF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学校有积极的支援措施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，教师阶段性、递进式的专业发展成果丰富，目标达成度较高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）培训主题突出，围绕师德建设、课程改革、课堂教学改革和信息技术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与学科教学管理深度融合等专题开展。培训效益显著，绝大部分教师能适应课程改革要求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6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教师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学习、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培训经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费纳入年度经费预算专项开支，占教师工资总额的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2%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CF3DFF" w:rsidRDefault="001D2189" w:rsidP="00CF3DF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）教师培训机制缺失，校本培训规划、年度培训计划</w:t>
            </w:r>
            <w:r w:rsidR="00CF3DFF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不落实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CF3DF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教师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学习、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培训经费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占教师工资总额的比例低于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1%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7A67" w:rsidRDefault="001D2189" w:rsidP="00912C3F"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  <w:lastRenderedPageBreak/>
              <w:t>三</w:t>
            </w:r>
          </w:p>
          <w:p w:rsidR="002D7A67" w:rsidRDefault="001D2189" w:rsidP="00912C3F"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  <w:t>管</w:t>
            </w:r>
          </w:p>
          <w:p w:rsidR="002D7A67" w:rsidRDefault="001D2189" w:rsidP="00912C3F"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  <w:t>理</w:t>
            </w:r>
          </w:p>
          <w:p w:rsidR="002D7A67" w:rsidRDefault="001D2189" w:rsidP="00912C3F"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  <w:t>水</w:t>
            </w:r>
          </w:p>
          <w:p w:rsidR="002D7A67" w:rsidRDefault="001D2189" w:rsidP="00912C3F"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  <w:t>平</w:t>
            </w: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textAlignment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10.</w:t>
            </w:r>
            <w:r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学校办学目标明确，规划科学合理。发展规划涵盖全面，重点突出，措施扎实，保障有力，具有前瞻性、适切性和可行性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。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规划施行顺利，实现程度高</w:t>
            </w:r>
            <w:r w:rsidR="00301DFB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1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）能遵循国家教育方针和教育规律，结合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学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校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实际，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科学定位办学目标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。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经教职工广泛研讨、专家组充分论证、政府或教育主管部门认定，形成学校发展规划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2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）规划质量较高，具有延续性、先进性、发展性、示范性、可操作性；能根据发展规划制订相关重点项目的行动计划和实施办法，能根据新的发展形势与任务适时进行调整和完善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3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</w:t>
            </w:r>
            <w:r w:rsidR="00F3230B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规划实施顺利，学校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年度工作计划体现规划精神，学校和各部门的年度、学期工作总结反映出规划实施情况，并有丰富的反映规划实施情况和成果的佐证材料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1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）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办学目标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定位偏离学校实际，或背离素质教育要求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Default="001D2189" w:rsidP="004A1CE2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2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）规划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执行不力，</w:t>
            </w:r>
            <w:r w:rsidR="004A1CE2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实现程度低或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学校各部门的年度计划、工作总结</w:t>
            </w:r>
            <w:r w:rsidR="00F3230B"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未能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体现规划精神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</w:tr>
      <w:tr w:rsidR="002D7A67">
        <w:trPr>
          <w:trHeight w:val="279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textAlignment w:val="center"/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11.</w:t>
            </w:r>
            <w:r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坚持依法治校，办学行为规范。严格执行国家课程计划，规范招生管理，严禁公开考试成绩排名和下达高考升学指标，未发生具有重大影响的安全稳定责任事件和违法违纪案件</w:t>
            </w:r>
            <w:r w:rsidR="00301DFB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。</w:t>
            </w:r>
          </w:p>
        </w:tc>
        <w:tc>
          <w:tcPr>
            <w:tcW w:w="3642" w:type="dxa"/>
          </w:tcPr>
          <w:p w:rsidR="006369C0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1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）严格执行国家的教育法律法规，办学行为规范，在全面落实《江苏省中小学管理规范要求》、执行</w:t>
            </w:r>
            <w:r w:rsidRPr="00E058B7">
              <w:rPr>
                <w:rFonts w:asciiTheme="minorEastAsia" w:hAnsiTheme="minorEastAsia" w:cs="Times New Roman"/>
                <w:bCs/>
                <w:color w:val="000000" w:themeColor="text1"/>
                <w:kern w:val="0"/>
                <w:szCs w:val="21"/>
                <w:lang w:bidi="ar"/>
              </w:rPr>
              <w:t>“五严”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规定等方面起示范作用，无违规办学、违规招生、违规补课、违规收费等</w:t>
            </w:r>
            <w:r w:rsidR="004A1CE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违规行为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2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）严格执行国家课程计划，</w:t>
            </w:r>
            <w:r w:rsidR="004A1CE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开齐开足</w:t>
            </w:r>
            <w:r w:rsidR="004A1CE2" w:rsidRPr="004A1CE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开好各门课程，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基本建立适应课</w:t>
            </w:r>
            <w:proofErr w:type="gramStart"/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改要求</w:t>
            </w:r>
            <w:proofErr w:type="gramEnd"/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的管理模式，在</w:t>
            </w:r>
            <w:r w:rsidR="006C0BC4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设区市</w:t>
            </w:r>
            <w:r w:rsidR="004A1CE2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范围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发挥示范作用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3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）未发生具有重大影响的安全稳定责任事件和违法违纪案件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1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）办学行为不规范，存在违规办学、违规招生、违规收费以及加班加点课外集体补课、节假日组织集体补课等行为</w:t>
            </w:r>
            <w:r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，</w:t>
            </w:r>
            <w:r w:rsidR="004A1CE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或</w:t>
            </w:r>
            <w:r w:rsidR="004A1CE2" w:rsidRPr="004A1CE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严重违反</w:t>
            </w:r>
            <w:r w:rsidR="004A1CE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“</w:t>
            </w:r>
            <w:r w:rsidR="004A1CE2" w:rsidRPr="004A1CE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减负</w:t>
            </w:r>
            <w:r w:rsidR="004A1CE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”</w:t>
            </w:r>
            <w:r w:rsidR="004A1CE2" w:rsidRPr="004A1CE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规定，学生家长反响强烈，受到教育部门处罚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2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）</w:t>
            </w:r>
            <w:r w:rsidR="005E55E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学校管理模式不能适应课程改革要求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Default="001D2189" w:rsidP="00912C3F">
            <w:pPr>
              <w:widowControl/>
              <w:spacing w:line="360" w:lineRule="exact"/>
              <w:ind w:firstLineChars="99" w:firstLine="208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3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）近三年存在</w:t>
            </w:r>
            <w:r w:rsidR="005E55E7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安全稳定责任事件</w:t>
            </w:r>
            <w:r w:rsidR="005E55E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或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违法违纪案件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</w:tr>
      <w:tr w:rsidR="002D7A67">
        <w:trPr>
          <w:trHeight w:val="277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widowControl/>
              <w:spacing w:line="360" w:lineRule="exact"/>
              <w:ind w:firstLineChars="200" w:firstLine="420"/>
              <w:textAlignment w:val="center"/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12.</w:t>
            </w:r>
            <w:r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坚持与时俱进，大力推进学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lastRenderedPageBreak/>
              <w:t>校管理制度和治理方式的改革创新。规章制度健全，岗位职责明确，为师生员工普遍认可，执行情况较好。信息技术与学校管理深度融合，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学校管理信息化水平较高</w:t>
            </w:r>
            <w:r w:rsidR="00301DFB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lastRenderedPageBreak/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1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）积极推进体制改革、制度创新，注重管理机制的革新和管理文化的营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lastRenderedPageBreak/>
              <w:t>造，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形成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以学校章程为核心的管理制度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体系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2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学校规章制度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为师生员工普遍认可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，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师生满意度达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90%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以上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，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执行情况好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3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）积极探索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网络环境下的管理改革，运用网络技术进行选课管理、学分管理、质量管理、评价管理、资源管理、图书管理、后勤管理、家校沟通、社会联系等，管理效能得到提高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Pr="008C04CB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lastRenderedPageBreak/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1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</w:t>
            </w:r>
            <w:r w:rsidRPr="008C04CB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学校管理制度和治理方式</w:t>
            </w:r>
            <w:r w:rsidRPr="008C04CB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违背</w:t>
            </w:r>
            <w:r w:rsidRPr="008C04CB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依法治校和以人为本的</w:t>
            </w:r>
            <w:r w:rsidRPr="008C04CB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lastRenderedPageBreak/>
              <w:t>管理理念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8C04CB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8C04CB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2</w:t>
            </w:r>
            <w:r w:rsidRPr="008C04CB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）信息技术与学校管理融合程度</w:t>
            </w:r>
            <w:r w:rsidR="00044F40" w:rsidRPr="008C04CB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低</w:t>
            </w:r>
            <w:r w:rsidRPr="008C04CB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，</w:t>
            </w:r>
            <w:r w:rsidRPr="008C04CB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管理效率不高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</w:tr>
      <w:tr w:rsidR="002D7A67" w:rsidTr="006369C0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13.</w:t>
            </w:r>
            <w:r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学校校风、教风、学风优良。</w:t>
            </w:r>
            <w:r w:rsidRPr="00044F40">
              <w:rPr>
                <w:rFonts w:asciiTheme="minorEastAsia" w:hAnsiTheme="minorEastAsia" w:cs="Times New Roman"/>
                <w:color w:val="000000" w:themeColor="text1"/>
                <w:kern w:val="0"/>
                <w:szCs w:val="21"/>
              </w:rPr>
              <w:t>“三风”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建设坚持以人为本，促进师生发展，提高管理水平，取得良好效果，为广大师生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自觉</w:t>
            </w:r>
            <w:proofErr w:type="gramStart"/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践行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和社会广泛认同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</w:rPr>
              <w:t>。</w:t>
            </w:r>
          </w:p>
        </w:tc>
        <w:tc>
          <w:tcPr>
            <w:tcW w:w="3642" w:type="dxa"/>
            <w:vAlign w:val="center"/>
          </w:tcPr>
          <w:p w:rsidR="002D7A67" w:rsidRPr="00A750DF" w:rsidRDefault="001D2189" w:rsidP="009240B3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1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）重视</w:t>
            </w:r>
            <w:r w:rsidRPr="00A750DF">
              <w:rPr>
                <w:rFonts w:asciiTheme="minorEastAsia" w:hAnsiTheme="minorEastAsia" w:cs="Times New Roman"/>
                <w:bCs/>
                <w:color w:val="000000" w:themeColor="text1"/>
                <w:kern w:val="0"/>
                <w:szCs w:val="21"/>
                <w:lang w:bidi="ar"/>
              </w:rPr>
              <w:t>“三风”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建设，校风、教风、学风成为学校文化建设的重要内容，指向明确，表述准确，内涵深刻，富有个性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Pr="00A750DF" w:rsidRDefault="001D2189" w:rsidP="009240B3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2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</w:t>
            </w:r>
            <w:r w:rsidRPr="00A750DF">
              <w:rPr>
                <w:rFonts w:asciiTheme="minorEastAsia" w:hAnsiTheme="minorEastAsia" w:cs="Times New Roman"/>
                <w:bCs/>
                <w:color w:val="000000" w:themeColor="text1"/>
                <w:kern w:val="0"/>
                <w:szCs w:val="21"/>
                <w:lang w:bidi="ar"/>
              </w:rPr>
              <w:t>“三风”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建设有思路、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有措施、有成效、有经验、有特色，促进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了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教师学生发展、教育质量提高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和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管理水平提升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5E55E7" w:rsidP="00912C3F">
            <w:pPr>
              <w:widowControl/>
              <w:spacing w:line="360" w:lineRule="exact"/>
              <w:ind w:firstLineChars="150" w:firstLine="315"/>
              <w:textAlignment w:val="center"/>
              <w:rPr>
                <w:rFonts w:ascii="Times New Roman" w:hAnsi="Times New Roman" w:cs="Times New Roman"/>
                <w:bCs/>
                <w:color w:val="FF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“</w:t>
            </w:r>
            <w:r w:rsidRPr="005E55E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三风</w:t>
            </w:r>
            <w:r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”</w:t>
            </w:r>
            <w:r w:rsidRPr="005E55E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建设措施不力，</w:t>
            </w:r>
            <w:r w:rsidR="001D2189"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师生和社会对</w:t>
            </w:r>
            <w:r w:rsidR="00E058B7"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学校</w:t>
            </w:r>
            <w:r w:rsidR="001D2189" w:rsidRPr="00A750DF">
              <w:rPr>
                <w:rFonts w:asciiTheme="minorEastAsia" w:hAnsiTheme="minorEastAsia" w:cs="Times New Roman"/>
                <w:color w:val="000000" w:themeColor="text1"/>
                <w:kern w:val="0"/>
                <w:szCs w:val="21"/>
                <w:lang w:bidi="ar"/>
              </w:rPr>
              <w:t>“三风”认</w:t>
            </w:r>
            <w:r w:rsidR="001D2189"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同度</w:t>
            </w:r>
            <w:r w:rsidR="00E058B7"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低于</w:t>
            </w:r>
            <w:r w:rsidR="001D2189"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60%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textAlignment w:val="center"/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14.</w:t>
            </w:r>
            <w:r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全面推行校长负责制，充分发挥党组织政治领导和组织保障作用。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推行校务公开，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民主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管理，各部门职能作用充分发挥，师生参与度高。教职工权益得到尊重与保障，形成了团结奋进的良好局面。学校与家庭、社会沟通合作机制健全，注重听取学生、家长的意见，自觉接受社会监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lastRenderedPageBreak/>
              <w:t>督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</w:rPr>
              <w:t>。</w:t>
            </w:r>
          </w:p>
        </w:tc>
        <w:tc>
          <w:tcPr>
            <w:tcW w:w="3642" w:type="dxa"/>
            <w:vAlign w:val="center"/>
          </w:tcPr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lastRenderedPageBreak/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1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全面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落实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校长负责制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，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加强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党组织建设和民主管理，实行多种形式的校务公开，定期召开教代会、学代会，学校改革发展的重大决策和涉及师生利益的决策符合民主管理程序，工作改进富有成效，形成团结奋进的良好局面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，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师生满意度达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90%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以上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2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）建立与社会沟通合作的机制，</w:t>
            </w:r>
            <w:r w:rsidRPr="00A750DF">
              <w:rPr>
                <w:rFonts w:ascii="Times New Roman" w:hAnsi="Times New Roman" w:cs="Times New Roman"/>
                <w:color w:val="000000" w:themeColor="text1"/>
                <w:szCs w:val="21"/>
                <w:lang w:bidi="ar"/>
              </w:rPr>
              <w:t>积极探索社区教育一体化管理模式，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通过学校发展指导委员会（董事会、理事会）、家长委员会、社区委员会及家访、接访等途径，主动听取各方面意见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1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校长负责制</w:t>
            </w:r>
            <w:r w:rsidR="00044F40"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未</w:t>
            </w:r>
            <w:r w:rsidR="005E55E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得到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全面落实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。</w:t>
            </w:r>
          </w:p>
          <w:p w:rsidR="00DE0069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（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2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</w:rPr>
              <w:t>）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党组织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保障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和民主管理不落实，教职工反映强烈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，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师生</w:t>
            </w:r>
            <w:r w:rsidR="00044F40"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满意度</w:t>
            </w:r>
            <w:r w:rsidR="00044F40"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低于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60%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Pr="00DE0069" w:rsidRDefault="00DE006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FF0000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3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）</w:t>
            </w:r>
            <w:r w:rsidR="001D2189"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学校与社会沟通合作机制</w:t>
            </w:r>
            <w:r w:rsidR="001D2189"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不健全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</w:tr>
      <w:tr w:rsidR="002D7A67" w:rsidTr="006369C0">
        <w:trPr>
          <w:trHeight w:val="301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cs="Times New Roman"/>
                <w:b/>
                <w:color w:val="000000" w:themeColor="text1"/>
                <w:kern w:val="0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textAlignment w:val="center"/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15.</w:t>
            </w:r>
            <w:r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充分利用校内外教育资源，积极服务于发展素质教育和师生的学习与研究。图书馆、实验室、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课程基地、艺体场馆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  <w:t>、信息中心等充分开放，设施设备利用率高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</w:rPr>
              <w:t>。</w:t>
            </w:r>
          </w:p>
        </w:tc>
        <w:tc>
          <w:tcPr>
            <w:tcW w:w="3642" w:type="dxa"/>
          </w:tcPr>
          <w:p w:rsidR="006369C0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1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）校内教育资源利用率高，注重图书馆、阅览室、实验室、课程基地、校园网络、文体场所等各类教育设施的开发、开放、运用，使之成为提高教育、管理、服务效能的重要平台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Default="001D2189" w:rsidP="005E55E7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2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）立足学生个性发展需求，</w:t>
            </w:r>
            <w:r w:rsidR="005E55E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充分开发利用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校外教育资源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服务于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德育、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课程建设、社会实践和研究性学习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等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，</w:t>
            </w:r>
            <w:r w:rsidR="005E55E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有效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提高学生</w:t>
            </w:r>
            <w:r w:rsidRPr="00A750DF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综合素质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Pr="00A750DF" w:rsidRDefault="001D2189" w:rsidP="00912C3F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1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校内教育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资源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利用率</w:t>
            </w:r>
            <w:r w:rsidR="005E55E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低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，存在</w:t>
            </w:r>
            <w:r w:rsidRPr="00A750DF"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:lang w:bidi="ar"/>
              </w:rPr>
              <w:t>闲置</w:t>
            </w:r>
            <w:r w:rsidRPr="00A750DF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现象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kern w:val="0"/>
                <w:szCs w:val="21"/>
                <w:lang w:bidi="ar"/>
              </w:rPr>
              <w:t>。</w:t>
            </w:r>
          </w:p>
          <w:p w:rsidR="002D7A67" w:rsidRDefault="001D2189" w:rsidP="00095C1C">
            <w:pPr>
              <w:widowControl/>
              <w:spacing w:line="360" w:lineRule="exact"/>
              <w:ind w:firstLineChars="100" w:firstLine="210"/>
              <w:textAlignment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</w:pP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（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2</w:t>
            </w:r>
            <w:r w:rsidRPr="00A750DF"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  <w:lang w:bidi="ar"/>
              </w:rPr>
              <w:t>）校外教育资源</w:t>
            </w:r>
            <w:r w:rsidR="00095C1C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未能充分利用</w:t>
            </w:r>
            <w:r w:rsidR="00036DD7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  <w:szCs w:val="21"/>
                <w:lang w:bidi="ar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7A67" w:rsidRDefault="001D2189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四</w:t>
            </w:r>
          </w:p>
          <w:p w:rsidR="002D7A67" w:rsidRDefault="001D2189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素</w:t>
            </w:r>
          </w:p>
          <w:p w:rsidR="002D7A67" w:rsidRDefault="001D2189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质</w:t>
            </w:r>
          </w:p>
          <w:p w:rsidR="002D7A67" w:rsidRDefault="001D2189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教</w:t>
            </w:r>
          </w:p>
          <w:p w:rsidR="002D7A67" w:rsidRDefault="001D2189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  <w:t>育</w:t>
            </w: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16.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0" w:themeColor="text1"/>
                <w:kern w:val="0"/>
                <w:szCs w:val="21"/>
              </w:rPr>
              <w:t>全面贯彻党的教育方针，落实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立德树人。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建成内容完善、年级衔接、载体丰富、常态开展的德育工作体系。积极实施课程育人、文化育人、活动育人、实践育人、管理育人和协同育人，形成全员、全程、全方位育人的局面。德育工作针对性强，成效明显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）坚持德育为先，注重价值导向，目标体系、工作制度健全，活动内容丰富，形式创新、活泼，富有针对性、时代性和实效性，德育课程体系初步建构，德育工作特色基本形成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Pr="00A750DF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A750DF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（</w:t>
            </w:r>
            <w:r w:rsidRPr="00A750DF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2</w:t>
            </w:r>
            <w:r w:rsidRPr="00A750DF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）德育与各项工作有机融合，形成教书育人、管理育人、服务育人的氛围；能充分发挥课堂教学在德育方面的主阵地作用，德育工作在</w:t>
            </w:r>
            <w:r w:rsidRPr="00A750DF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设区市</w:t>
            </w:r>
            <w:r w:rsidRPr="00A750DF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范围内具有示范效应</w:t>
            </w:r>
            <w:r w:rsidR="009240B3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Pr="00A750DF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A750DF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（</w:t>
            </w:r>
            <w:r w:rsidRPr="00A750DF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3</w:t>
            </w:r>
            <w:r w:rsidRPr="00A750DF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）建立学生</w:t>
            </w:r>
            <w:r w:rsidR="00BF5597" w:rsidRPr="00A750DF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发展</w:t>
            </w:r>
            <w:r w:rsidRPr="00A750DF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指导中心，立足服务学生终身发展，加强对学生的思想指导、生涯指导、学业指导、生活指导和心理辅导等，培养学生健全的人格，确保身心健康成长</w:t>
            </w:r>
            <w:r w:rsidR="009240B3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szCs w:val="21"/>
              </w:rPr>
              <w:t>）充分发挥党团、学生会作用，学校共青团工作有地位、有影响、有特色，学生主体作用得到发挥，自主教育成效显著，学生普遍具有良好的精神风貌、行为习惯、道德水准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50" w:firstLine="315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 w:rsidR="00BF5597">
              <w:rPr>
                <w:rFonts w:ascii="Times New Roman" w:hAnsi="Times New Roman" w:cs="Times New Roman"/>
                <w:color w:val="000000" w:themeColor="text1"/>
                <w:szCs w:val="21"/>
              </w:rPr>
              <w:t>）不重视发挥</w:t>
            </w:r>
            <w:r w:rsidR="00BF5597" w:rsidRPr="00BF559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学科育人的积极作用，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学科</w:t>
            </w:r>
            <w:r w:rsidR="00BF559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育人</w:t>
            </w:r>
            <w:r w:rsidR="00BF5597">
              <w:rPr>
                <w:rFonts w:ascii="Times New Roman" w:hAnsi="Times New Roman" w:cs="Times New Roman"/>
                <w:color w:val="000000" w:themeColor="text1"/>
                <w:szCs w:val="21"/>
              </w:rPr>
              <w:t>无明确</w:t>
            </w:r>
            <w:r w:rsidR="00BF559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要求和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实践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50" w:firstLine="315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）常态化德育工作体系尚未形成，针对性不强，效果不明显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50" w:firstLine="315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）学生生涯指导工作制度不健全，措施不落实，效果不明显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17.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学校课程发展规划遵循国家课程改革要求，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体现学生核心素养和关键能力培养要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lastRenderedPageBreak/>
              <w:t>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。课程开发、开设和更新机制完善。严格执行国家课程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方案，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开齐开足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上好规定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课程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学校建有选课指导制度，学生拥有个性化的课程修习方案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课程资源丰富，满足学生多样化选择的需求。建成一批深受学生欢迎、为兄弟学校示范的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优质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课程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）课程发展规划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符合课</w:t>
            </w:r>
            <w:proofErr w:type="gramStart"/>
            <w:r>
              <w:rPr>
                <w:rFonts w:ascii="Times New Roman" w:eastAsia="宋体" w:hAnsi="Times New Roman" w:cs="Times New Roman" w:hint="eastAsia"/>
                <w:szCs w:val="21"/>
              </w:rPr>
              <w:t>改要求</w:t>
            </w:r>
            <w:proofErr w:type="gramEnd"/>
            <w:r>
              <w:rPr>
                <w:rFonts w:ascii="Times New Roman" w:eastAsia="宋体" w:hAnsi="Times New Roman" w:cs="Times New Roman" w:hint="eastAsia"/>
                <w:szCs w:val="21"/>
              </w:rPr>
              <w:t>和学校实际，有明确的建设目标、</w:t>
            </w:r>
            <w:r>
              <w:rPr>
                <w:rFonts w:ascii="Times New Roman" w:eastAsia="宋体" w:hAnsi="Times New Roman" w:cs="Times New Roman"/>
                <w:szCs w:val="21"/>
              </w:rPr>
              <w:t>实施策略、评价标准等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，课程发展规划实施富有成效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）课程资源丰富，课程开发、更</w:t>
            </w: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新的制度与机制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完善，</w:t>
            </w:r>
            <w:r>
              <w:rPr>
                <w:rFonts w:ascii="Times New Roman" w:eastAsia="宋体" w:hAnsi="Times New Roman" w:cs="Times New Roman"/>
                <w:szCs w:val="21"/>
              </w:rPr>
              <w:t>形成基础性、拓展性、研究性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、实践性</w:t>
            </w:r>
            <w:r>
              <w:rPr>
                <w:rFonts w:ascii="Times New Roman" w:eastAsia="宋体" w:hAnsi="Times New Roman" w:cs="Times New Roman"/>
                <w:szCs w:val="21"/>
              </w:rPr>
              <w:t>相结合的选修课程体系，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满足学生选择性修习需求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）建立学生选课制度，指导学生自主选课，帮助学生形成个性化的修习方案，高一、高二开设的选修课程均不少于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门，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轨制以上学校需同比增加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）优质课程建设成效显著，</w:t>
            </w:r>
            <w:r>
              <w:rPr>
                <w:rFonts w:ascii="Times New Roman" w:eastAsia="宋体" w:hAnsi="Times New Roman" w:cs="Times New Roman"/>
                <w:szCs w:val="21"/>
              </w:rPr>
              <w:t>能为兄弟学校提供示范的优质课程不少于</w:t>
            </w:r>
            <w:r>
              <w:rPr>
                <w:rFonts w:ascii="Times New Roman" w:eastAsia="宋体" w:hAnsi="Times New Roman" w:cs="Times New Roman"/>
                <w:szCs w:val="21"/>
              </w:rPr>
              <w:t>10</w:t>
            </w:r>
            <w:r>
              <w:rPr>
                <w:rFonts w:ascii="Times New Roman" w:eastAsia="宋体" w:hAnsi="Times New Roman" w:cs="Times New Roman"/>
                <w:szCs w:val="21"/>
              </w:rPr>
              <w:t>门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课程基地建设规划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得到有效实施，</w:t>
            </w:r>
            <w:r>
              <w:rPr>
                <w:rFonts w:ascii="Times New Roman" w:eastAsia="宋体" w:hAnsi="Times New Roman" w:cs="Times New Roman"/>
                <w:szCs w:val="21"/>
              </w:rPr>
              <w:t>能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服务于教育教学改革和教学质量的提升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057F33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 w:rsidR="00057F33">
              <w:rPr>
                <w:rFonts w:ascii="Times New Roman" w:eastAsia="宋体" w:hAnsi="Times New Roman" w:cs="Times New Roman" w:hint="eastAsia"/>
                <w:szCs w:val="21"/>
              </w:rPr>
              <w:t>）课程资源不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丰富，</w:t>
            </w:r>
            <w:r w:rsidR="009700A1">
              <w:rPr>
                <w:rFonts w:ascii="Times New Roman" w:eastAsia="宋体" w:hAnsi="Times New Roman" w:cs="Times New Roman" w:hint="eastAsia"/>
                <w:szCs w:val="21"/>
              </w:rPr>
              <w:t>或选修课程虽达到一定数量，但多为学科类课程的延伸，</w:t>
            </w:r>
            <w:r w:rsidR="009700A1" w:rsidRPr="009700A1">
              <w:rPr>
                <w:rFonts w:ascii="Times New Roman" w:eastAsia="宋体" w:hAnsi="Times New Roman" w:cs="Times New Roman" w:hint="eastAsia"/>
                <w:szCs w:val="21"/>
              </w:rPr>
              <w:t>涉及领域不广，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不能满足学生</w:t>
            </w:r>
            <w:r w:rsidR="00057F33">
              <w:rPr>
                <w:rFonts w:ascii="Times New Roman" w:eastAsia="宋体" w:hAnsi="Times New Roman" w:cs="Times New Roman" w:hint="eastAsia"/>
                <w:szCs w:val="21"/>
              </w:rPr>
              <w:t>选择性修习</w:t>
            </w:r>
            <w:r w:rsidR="00057F33" w:rsidRPr="00057F33">
              <w:rPr>
                <w:rFonts w:ascii="Times New Roman" w:eastAsia="宋体" w:hAnsi="Times New Roman" w:cs="Times New Roman" w:hint="eastAsia"/>
                <w:szCs w:val="21"/>
              </w:rPr>
              <w:t>需求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轨制高中高一、高二选修课程的开设均少于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门，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轨制以上学校未能同比增加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bCs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）优质课程建设成效不显著，在设区市范围有影响力的优质课程数量少于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门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bCs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bCs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bCs/>
                <w:szCs w:val="21"/>
              </w:rPr>
              <w:t>）</w:t>
            </w:r>
            <w:r w:rsidR="009700A1">
              <w:rPr>
                <w:rFonts w:ascii="Times New Roman" w:eastAsia="宋体" w:hAnsi="Times New Roman" w:cs="Times New Roman" w:hint="eastAsia"/>
                <w:bCs/>
                <w:szCs w:val="21"/>
              </w:rPr>
              <w:t>未对学生进行选课指导，存在</w:t>
            </w:r>
            <w:r>
              <w:rPr>
                <w:rFonts w:ascii="Times New Roman" w:eastAsia="宋体" w:hAnsi="Times New Roman" w:cs="Times New Roman" w:hint="eastAsia"/>
                <w:bCs/>
                <w:szCs w:val="21"/>
              </w:rPr>
              <w:t>干扰学生自主选课现象</w:t>
            </w:r>
            <w:r w:rsidR="00036DD7">
              <w:rPr>
                <w:rFonts w:ascii="Times New Roman" w:eastAsia="宋体" w:hAnsi="Times New Roman" w:cs="Times New Roman" w:hint="eastAsia"/>
                <w:bCs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18.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大力推进教与</w:t>
            </w:r>
            <w:proofErr w:type="gramStart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学方式</w:t>
            </w:r>
            <w:proofErr w:type="gramEnd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改革，积极探索适合的教学模式。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普遍运用启发式、讨论式、参与式等教学方式，有效提高教学效率。注重引导学生自主、合作、探究学习，推进以学习者为中心的教学改革。积极推进信息技术与学科教学的深度融合，探索网络环境下的教学改革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）教与学的改革列入学校发展规划和年度工作计划，目标明确、重点突出，改革成果较为丰富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教师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普遍运用启发式、讨论式、参与式等教学方式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，引导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学生自主、合作、探究学习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，学生在课堂上的</w:t>
            </w:r>
            <w:r>
              <w:rPr>
                <w:rFonts w:ascii="Times New Roman" w:eastAsia="宋体" w:hAnsi="Times New Roman" w:cs="Times New Roman"/>
                <w:szCs w:val="21"/>
              </w:rPr>
              <w:t>主体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作用得到充分发挥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90%</w:t>
            </w:r>
            <w:r w:rsidR="00F7003B">
              <w:rPr>
                <w:rFonts w:ascii="Times New Roman" w:eastAsia="宋体" w:hAnsi="Times New Roman" w:cs="Times New Roman"/>
                <w:szCs w:val="21"/>
              </w:rPr>
              <w:t>以上的教师对教与学的改革创新有研究、有心得</w:t>
            </w:r>
            <w:r>
              <w:rPr>
                <w:rFonts w:ascii="Times New Roman" w:eastAsia="宋体" w:hAnsi="Times New Roman" w:cs="Times New Roman"/>
                <w:szCs w:val="21"/>
              </w:rPr>
              <w:t>、能示范，教学研究、课题研究、团队研究形成风气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adjustRightInd w:val="0"/>
              <w:snapToGrid w:val="0"/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szCs w:val="21"/>
              </w:rPr>
              <w:t>）信息技术与学科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教学</w:t>
            </w:r>
            <w:r>
              <w:rPr>
                <w:rFonts w:ascii="Times New Roman" w:eastAsia="宋体" w:hAnsi="Times New Roman" w:cs="Times New Roman"/>
                <w:szCs w:val="21"/>
              </w:rPr>
              <w:t>有效整合，网络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学习</w:t>
            </w:r>
            <w:r>
              <w:rPr>
                <w:rFonts w:ascii="Times New Roman" w:eastAsia="宋体" w:hAnsi="Times New Roman" w:cs="Times New Roman"/>
                <w:szCs w:val="21"/>
              </w:rPr>
              <w:t>资源丰富，</w:t>
            </w:r>
            <w:r w:rsidR="0028367D">
              <w:rPr>
                <w:rFonts w:ascii="Times New Roman" w:eastAsia="宋体" w:hAnsi="Times New Roman" w:cs="Times New Roman" w:hint="eastAsia"/>
                <w:szCs w:val="21"/>
              </w:rPr>
              <w:t>课堂教学运用</w:t>
            </w:r>
            <w:r w:rsidR="0028367D" w:rsidRPr="0028367D">
              <w:rPr>
                <w:rFonts w:ascii="Times New Roman" w:eastAsia="宋体" w:hAnsi="Times New Roman" w:cs="Times New Roman" w:hint="eastAsia"/>
                <w:szCs w:val="21"/>
              </w:rPr>
              <w:t>适当，</w:t>
            </w:r>
            <w:r>
              <w:rPr>
                <w:rFonts w:ascii="Times New Roman" w:eastAsia="宋体" w:hAnsi="Times New Roman" w:cs="Times New Roman"/>
                <w:szCs w:val="21"/>
              </w:rPr>
              <w:t>师生网络交流顺畅</w:t>
            </w:r>
            <w:r w:rsidR="00F7003B">
              <w:rPr>
                <w:rFonts w:ascii="Times New Roman" w:eastAsia="宋体" w:hAnsi="Times New Roman" w:cs="Times New Roman" w:hint="eastAsia"/>
                <w:szCs w:val="21"/>
              </w:rPr>
              <w:t>。信息技术为提高学科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教学质量提供有力支撑</w:t>
            </w:r>
            <w:r>
              <w:rPr>
                <w:rFonts w:ascii="Times New Roman" w:eastAsia="宋体" w:hAnsi="Times New Roman" w:cs="Times New Roman"/>
                <w:szCs w:val="21"/>
              </w:rPr>
              <w:t>，有丰富的成果与经验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F7003B" w:rsidRPr="00F7003B" w:rsidRDefault="00F7003B" w:rsidP="00912C3F">
            <w:pPr>
              <w:adjustRightInd w:val="0"/>
              <w:snapToGrid w:val="0"/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现场考察随堂听课</w:t>
            </w:r>
            <w:r w:rsidR="00BC6243">
              <w:rPr>
                <w:rFonts w:ascii="Times New Roman" w:eastAsia="宋体" w:hAnsi="Times New Roman" w:cs="Times New Roman"/>
                <w:szCs w:val="21"/>
              </w:rPr>
              <w:t>专家</w:t>
            </w:r>
            <w:r>
              <w:rPr>
                <w:rFonts w:ascii="Times New Roman" w:eastAsia="宋体" w:hAnsi="Times New Roman" w:cs="Times New Roman"/>
                <w:szCs w:val="21"/>
              </w:rPr>
              <w:t>评</w:t>
            </w:r>
            <w:r>
              <w:rPr>
                <w:rFonts w:asciiTheme="minorEastAsia" w:hAnsiTheme="minorEastAsia" w:cs="Times New Roman"/>
                <w:szCs w:val="21"/>
              </w:rPr>
              <w:t>价“</w:t>
            </w:r>
            <w:r>
              <w:rPr>
                <w:rFonts w:asciiTheme="minorEastAsia" w:hAnsiTheme="minorEastAsia" w:cs="Times New Roman" w:hint="eastAsia"/>
                <w:szCs w:val="21"/>
              </w:rPr>
              <w:t>优良</w:t>
            </w:r>
            <w:r>
              <w:rPr>
                <w:rFonts w:asciiTheme="minorEastAsia" w:hAnsiTheme="minorEastAsia" w:cs="Times New Roman"/>
                <w:szCs w:val="21"/>
              </w:rPr>
              <w:t>”</w:t>
            </w:r>
            <w:r>
              <w:rPr>
                <w:rFonts w:ascii="Times New Roman" w:eastAsia="宋体" w:hAnsi="Times New Roman" w:cs="Times New Roman"/>
                <w:szCs w:val="21"/>
              </w:rPr>
              <w:t>比例</w:t>
            </w:r>
            <w:r w:rsidR="00BC6243">
              <w:rPr>
                <w:rFonts w:ascii="Times New Roman" w:eastAsia="宋体" w:hAnsi="Times New Roman" w:cs="Times New Roman" w:hint="eastAsia"/>
                <w:szCs w:val="21"/>
              </w:rPr>
              <w:t>达到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85</w:t>
            </w:r>
            <w:r>
              <w:rPr>
                <w:rFonts w:ascii="Times New Roman" w:eastAsia="宋体" w:hAnsi="Times New Roman" w:cs="Times New Roman"/>
                <w:szCs w:val="21"/>
              </w:rPr>
              <w:t>％</w:t>
            </w:r>
            <w:r w:rsidR="00BC6243">
              <w:rPr>
                <w:rFonts w:ascii="Times New Roman" w:eastAsia="宋体" w:hAnsi="Times New Roman" w:cs="Times New Roman" w:hint="eastAsia"/>
                <w:szCs w:val="21"/>
              </w:rPr>
              <w:t>以上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学生在课堂</w:t>
            </w:r>
            <w:r w:rsidR="0028367D">
              <w:rPr>
                <w:rFonts w:ascii="Times New Roman" w:eastAsia="宋体" w:hAnsi="Times New Roman" w:cs="Times New Roman" w:hint="eastAsia"/>
                <w:szCs w:val="21"/>
              </w:rPr>
              <w:t>上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的</w:t>
            </w:r>
            <w:r>
              <w:rPr>
                <w:rFonts w:ascii="Times New Roman" w:eastAsia="宋体" w:hAnsi="Times New Roman" w:cs="Times New Roman"/>
                <w:szCs w:val="21"/>
              </w:rPr>
              <w:t>主体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作用未得到充分发挥，</w:t>
            </w:r>
            <w:r>
              <w:rPr>
                <w:rFonts w:ascii="Times New Roman" w:eastAsia="宋体" w:hAnsi="Times New Roman" w:cs="Times New Roman"/>
                <w:szCs w:val="21"/>
              </w:rPr>
              <w:t>存在</w:t>
            </w:r>
            <w:r>
              <w:rPr>
                <w:rFonts w:asciiTheme="minorEastAsia" w:hAnsiTheme="minorEastAsia" w:cs="Times New Roman"/>
                <w:szCs w:val="21"/>
              </w:rPr>
              <w:t>“满堂灌”</w:t>
            </w:r>
            <w:r>
              <w:rPr>
                <w:rFonts w:ascii="Times New Roman" w:eastAsia="宋体" w:hAnsi="Times New Roman" w:cs="Times New Roman"/>
                <w:szCs w:val="21"/>
              </w:rPr>
              <w:t>现象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信息技术</w:t>
            </w:r>
            <w:r w:rsidR="00CE2AD5">
              <w:rPr>
                <w:rFonts w:ascii="Times New Roman" w:eastAsia="宋体" w:hAnsi="Times New Roman" w:cs="Times New Roman" w:hint="eastAsia"/>
                <w:szCs w:val="21"/>
              </w:rPr>
              <w:t>服务于学科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教学成效不明显，</w:t>
            </w:r>
            <w:r>
              <w:rPr>
                <w:rFonts w:ascii="Times New Roman" w:eastAsia="宋体" w:hAnsi="Times New Roman" w:cs="Times New Roman"/>
                <w:szCs w:val="21"/>
              </w:rPr>
              <w:t>网络学习资源匮乏</w:t>
            </w:r>
            <w:r w:rsidR="0028367D">
              <w:rPr>
                <w:rFonts w:ascii="Times New Roman" w:eastAsia="宋体" w:hAnsi="Times New Roman" w:cs="Times New Roman" w:hint="eastAsia"/>
                <w:szCs w:val="21"/>
              </w:rPr>
              <w:t>，</w:t>
            </w:r>
            <w:r w:rsidR="00092C42">
              <w:rPr>
                <w:rFonts w:ascii="Times New Roman" w:eastAsia="宋体" w:hAnsi="Times New Roman" w:cs="Times New Roman" w:hint="eastAsia"/>
                <w:szCs w:val="21"/>
              </w:rPr>
              <w:t>师生未能借助网络进行有效交流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现场考察随堂听课</w:t>
            </w:r>
            <w:r w:rsidR="00BC6243">
              <w:rPr>
                <w:rFonts w:ascii="Times New Roman" w:eastAsia="宋体" w:hAnsi="Times New Roman" w:cs="Times New Roman"/>
                <w:szCs w:val="21"/>
              </w:rPr>
              <w:t>专家</w:t>
            </w:r>
            <w:r>
              <w:rPr>
                <w:rFonts w:ascii="Times New Roman" w:eastAsia="宋体" w:hAnsi="Times New Roman" w:cs="Times New Roman"/>
                <w:szCs w:val="21"/>
              </w:rPr>
              <w:t>评</w:t>
            </w:r>
            <w:r>
              <w:rPr>
                <w:rFonts w:asciiTheme="minorEastAsia" w:hAnsiTheme="minorEastAsia" w:cs="Times New Roman"/>
                <w:szCs w:val="21"/>
              </w:rPr>
              <w:t>价“一般”及</w:t>
            </w:r>
            <w:r>
              <w:rPr>
                <w:rFonts w:ascii="Times New Roman" w:eastAsia="宋体" w:hAnsi="Times New Roman" w:cs="Times New Roman"/>
                <w:szCs w:val="21"/>
              </w:rPr>
              <w:t>以下比例超过</w:t>
            </w:r>
            <w:r>
              <w:rPr>
                <w:rFonts w:ascii="Times New Roman" w:eastAsia="宋体" w:hAnsi="Times New Roman" w:cs="Times New Roman"/>
                <w:szCs w:val="21"/>
              </w:rPr>
              <w:t>30</w:t>
            </w:r>
            <w:r>
              <w:rPr>
                <w:rFonts w:ascii="Times New Roman" w:eastAsia="宋体" w:hAnsi="Times New Roman" w:cs="Times New Roman"/>
                <w:szCs w:val="21"/>
              </w:rPr>
              <w:t>％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</w:tr>
      <w:tr w:rsidR="002D7A67" w:rsidTr="00476AF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19.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坚持素质教育导向，学生评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价、教师评价、课程评价体系完备。健全学生综合评价制度，完善考试评价机制。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充分发挥评价的积极作用，助</w:t>
            </w:r>
            <w:proofErr w:type="gramStart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推学生</w:t>
            </w:r>
            <w:proofErr w:type="gramEnd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成长、教师发展和教育教学的改进。评价科学规范，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成效明显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（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建立和完善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课程评价、学生评价、教师评价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体系，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评价制度改革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体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lastRenderedPageBreak/>
              <w:t>现素质教育发展导向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）学生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综合素质评价工作有机构，有制度，有方案，评价内容具体，操作流程规范，评价结果</w:t>
            </w:r>
            <w:r w:rsidR="008B319A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客观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公正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3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三项评价相互促进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，有力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助</w:t>
            </w:r>
            <w:proofErr w:type="gramStart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推学生</w:t>
            </w:r>
            <w:proofErr w:type="gramEnd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成长、教师发展和教育教学的改进</w:t>
            </w:r>
            <w:r w:rsidR="009240B3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7277F6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未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坚持素质教育导向，</w:t>
            </w:r>
            <w:r>
              <w:rPr>
                <w:rFonts w:ascii="Times New Roman" w:eastAsia="宋体" w:hAnsi="Times New Roman" w:cs="Times New Roman"/>
                <w:szCs w:val="21"/>
              </w:rPr>
              <w:t>单纯用考试成绩评价教师、学</w:t>
            </w: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生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教师绩效评价</w:t>
            </w:r>
            <w:r>
              <w:rPr>
                <w:rFonts w:ascii="Times New Roman" w:eastAsia="宋体" w:hAnsi="Times New Roman" w:cs="Times New Roman"/>
                <w:szCs w:val="21"/>
              </w:rPr>
              <w:t>流于形式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，未能</w:t>
            </w:r>
            <w:r w:rsidR="00092C42">
              <w:rPr>
                <w:rFonts w:ascii="Times New Roman" w:eastAsia="宋体" w:hAnsi="Times New Roman" w:cs="Times New Roman" w:hint="eastAsia"/>
                <w:szCs w:val="21"/>
              </w:rPr>
              <w:t>起到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激励作用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）学生综合素质评价工作流于形式，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评价结果</w:t>
            </w:r>
            <w:r>
              <w:rPr>
                <w:rFonts w:ascii="Times New Roman" w:eastAsia="宋体" w:hAnsi="Times New Roman" w:cs="Times New Roman"/>
                <w:szCs w:val="21"/>
              </w:rPr>
              <w:t>存在不客观</w:t>
            </w:r>
            <w:r w:rsidR="008B319A">
              <w:rPr>
                <w:rFonts w:ascii="Times New Roman" w:eastAsia="宋体" w:hAnsi="Times New Roman" w:cs="Times New Roman" w:hint="eastAsia"/>
                <w:szCs w:val="21"/>
              </w:rPr>
              <w:t>公正</w:t>
            </w:r>
            <w:r>
              <w:rPr>
                <w:rFonts w:ascii="Times New Roman" w:eastAsia="宋体" w:hAnsi="Times New Roman" w:cs="Times New Roman"/>
                <w:szCs w:val="21"/>
              </w:rPr>
              <w:t>现象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20.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立足提升教师专业能力与育人业绩，注重围绕学科建设，结合教育教学实践开展研究。教科研工作有规划，有措施，有保障，有成效。有多项省级及以上研究课题和实验项目，有一批高水平的论文在省级及以上刊物发表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EF51C3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教科研工作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立足提升教师专业能力</w:t>
            </w:r>
            <w:r w:rsidR="00EF51C3" w:rsidRPr="00EF51C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和学校办学绩效，</w:t>
            </w:r>
            <w:r w:rsidR="00EF51C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突出问题导向，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紧密结合教育教学实践，</w:t>
            </w:r>
            <w:r w:rsidR="00EF51C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注重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针对性、实效性，</w:t>
            </w:r>
            <w:r w:rsidR="00EF51C3" w:rsidRPr="00EF51C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有效解决学校发</w:t>
            </w:r>
            <w:r w:rsidR="00EF51C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展过程中遇到的实际问题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2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教科研工作有组织、有规划、有课题、有总结、有激励。学科组、年级组有教科研课题，教师有个人研究专题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）学校</w:t>
            </w:r>
            <w:r w:rsidR="002A3F1D">
              <w:rPr>
                <w:rFonts w:ascii="Times New Roman" w:eastAsia="宋体" w:hAnsi="Times New Roman" w:cs="Times New Roman"/>
                <w:szCs w:val="21"/>
              </w:rPr>
              <w:t>每年组织骨干力量，围绕实践中的重大问题开展研究，并有所突破。近</w:t>
            </w:r>
            <w:r w:rsidR="002A3F1D">
              <w:rPr>
                <w:rFonts w:ascii="Times New Roman" w:eastAsia="宋体" w:hAnsi="Times New Roman" w:cs="Times New Roman" w:hint="eastAsia"/>
                <w:szCs w:val="21"/>
              </w:rPr>
              <w:t>三</w:t>
            </w:r>
            <w:r>
              <w:rPr>
                <w:rFonts w:ascii="Times New Roman" w:eastAsia="宋体" w:hAnsi="Times New Roman" w:cs="Times New Roman"/>
                <w:szCs w:val="21"/>
              </w:rPr>
              <w:t>年内本校人员至少主持或参与完成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 w:rsidR="002A3F1D">
              <w:rPr>
                <w:rFonts w:ascii="Times New Roman" w:eastAsia="宋体" w:hAnsi="Times New Roman" w:cs="Times New Roman"/>
                <w:szCs w:val="21"/>
              </w:rPr>
              <w:t>项省级及以上教育科学研究立项课题，现正在</w:t>
            </w:r>
            <w:r>
              <w:rPr>
                <w:rFonts w:ascii="Times New Roman" w:eastAsia="宋体" w:hAnsi="Times New Roman" w:cs="Times New Roman"/>
                <w:szCs w:val="21"/>
              </w:rPr>
              <w:t>研究</w:t>
            </w:r>
            <w:r w:rsidR="002A3F1D">
              <w:rPr>
                <w:rFonts w:ascii="Times New Roman" w:eastAsia="宋体" w:hAnsi="Times New Roman" w:cs="Times New Roman" w:hint="eastAsia"/>
                <w:szCs w:val="21"/>
              </w:rPr>
              <w:t>中</w:t>
            </w:r>
            <w:r>
              <w:rPr>
                <w:rFonts w:ascii="Times New Roman" w:eastAsia="宋体" w:hAnsi="Times New Roman" w:cs="Times New Roman"/>
                <w:szCs w:val="21"/>
              </w:rPr>
              <w:t>的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设区市</w:t>
            </w:r>
            <w:r w:rsidR="002A3F1D">
              <w:rPr>
                <w:rFonts w:ascii="Times New Roman" w:eastAsia="宋体" w:hAnsi="Times New Roman" w:cs="Times New Roman" w:hint="eastAsia"/>
                <w:szCs w:val="21"/>
              </w:rPr>
              <w:t>及</w:t>
            </w:r>
            <w:r>
              <w:rPr>
                <w:rFonts w:ascii="Times New Roman" w:eastAsia="宋体" w:hAnsi="Times New Roman" w:cs="Times New Roman"/>
                <w:szCs w:val="21"/>
              </w:rPr>
              <w:t>以上课题不少于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项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szCs w:val="21"/>
              </w:rPr>
              <w:t>）教师个人研究成果丰硕，论文质量较高。近三年年均有</w:t>
            </w:r>
            <w:r>
              <w:rPr>
                <w:rFonts w:ascii="Times New Roman" w:eastAsia="宋体" w:hAnsi="Times New Roman" w:cs="Times New Roman"/>
                <w:szCs w:val="21"/>
              </w:rPr>
              <w:t>30%</w:t>
            </w:r>
            <w:r>
              <w:rPr>
                <w:rFonts w:ascii="Times New Roman" w:eastAsia="宋体" w:hAnsi="Times New Roman" w:cs="Times New Roman"/>
                <w:szCs w:val="21"/>
              </w:rPr>
              <w:t>的教师在省级以上公开出版的报刊上发表论文（刊物不少于</w:t>
            </w:r>
            <w:r>
              <w:rPr>
                <w:rFonts w:ascii="Times New Roman" w:eastAsia="宋体" w:hAnsi="Times New Roman" w:cs="Times New Roman"/>
                <w:szCs w:val="21"/>
              </w:rPr>
              <w:t>1200</w:t>
            </w:r>
            <w:r>
              <w:rPr>
                <w:rFonts w:ascii="Times New Roman" w:eastAsia="宋体" w:hAnsi="Times New Roman" w:cs="Times New Roman"/>
                <w:szCs w:val="21"/>
              </w:rPr>
              <w:t>字、报纸不少于</w:t>
            </w:r>
            <w:r>
              <w:rPr>
                <w:rFonts w:ascii="Times New Roman" w:eastAsia="宋体" w:hAnsi="Times New Roman" w:cs="Times New Roman"/>
                <w:szCs w:val="21"/>
              </w:rPr>
              <w:t>800</w:t>
            </w:r>
            <w:r>
              <w:rPr>
                <w:rFonts w:ascii="Times New Roman" w:eastAsia="宋体" w:hAnsi="Times New Roman" w:cs="Times New Roman"/>
                <w:szCs w:val="21"/>
              </w:rPr>
              <w:t>字）、在</w:t>
            </w:r>
            <w:r w:rsidR="001943A6">
              <w:rPr>
                <w:rFonts w:ascii="Times New Roman" w:eastAsia="宋体" w:hAnsi="Times New Roman" w:cs="Times New Roman" w:hint="eastAsia"/>
                <w:szCs w:val="21"/>
              </w:rPr>
              <w:t>设区市及以上</w:t>
            </w:r>
            <w:r>
              <w:rPr>
                <w:rFonts w:ascii="Times New Roman" w:eastAsia="宋体" w:hAnsi="Times New Roman" w:cs="Times New Roman"/>
                <w:szCs w:val="21"/>
              </w:rPr>
              <w:t>教育部门组织的教学论文竞赛中获一等</w:t>
            </w:r>
            <w:r w:rsidR="001943A6">
              <w:rPr>
                <w:rFonts w:ascii="Times New Roman" w:eastAsia="宋体" w:hAnsi="Times New Roman" w:cs="Times New Roman" w:hint="eastAsia"/>
                <w:szCs w:val="21"/>
              </w:rPr>
              <w:t>奖</w:t>
            </w:r>
            <w:r w:rsidR="001943A6">
              <w:rPr>
                <w:rFonts w:ascii="Times New Roman" w:eastAsia="宋体" w:hAnsi="Times New Roman" w:cs="Times New Roman"/>
                <w:szCs w:val="21"/>
              </w:rPr>
              <w:t>或二等奖</w:t>
            </w:r>
            <w:r>
              <w:rPr>
                <w:rFonts w:ascii="Times New Roman" w:eastAsia="宋体" w:hAnsi="Times New Roman" w:cs="Times New Roman"/>
                <w:szCs w:val="21"/>
              </w:rPr>
              <w:t>，其中公开发表论文的教师（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人数</w:t>
            </w:r>
            <w:r>
              <w:rPr>
                <w:rFonts w:ascii="Times New Roman" w:eastAsia="宋体" w:hAnsi="Times New Roman" w:cs="Times New Roman"/>
                <w:szCs w:val="21"/>
              </w:rPr>
              <w:t>）比例不低于</w:t>
            </w:r>
            <w:r>
              <w:rPr>
                <w:rFonts w:ascii="Times New Roman" w:eastAsia="宋体" w:hAnsi="Times New Roman" w:cs="Times New Roman"/>
                <w:szCs w:val="21"/>
              </w:rPr>
              <w:t>20%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）积极进行教改实验，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实验成果</w:t>
            </w:r>
            <w:r>
              <w:rPr>
                <w:rFonts w:ascii="Times New Roman" w:eastAsia="宋体" w:hAnsi="Times New Roman" w:cs="Times New Roman"/>
                <w:szCs w:val="21"/>
              </w:rPr>
              <w:t>在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设区市及其以上</w:t>
            </w:r>
            <w:r>
              <w:rPr>
                <w:rFonts w:ascii="Times New Roman" w:eastAsia="宋体" w:hAnsi="Times New Roman" w:cs="Times New Roman"/>
                <w:szCs w:val="21"/>
              </w:rPr>
              <w:t>范围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产生影响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12786D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教科研工作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脱离教育教学实践</w:t>
            </w:r>
            <w:r>
              <w:rPr>
                <w:rFonts w:ascii="Times New Roman" w:eastAsia="宋体" w:hAnsi="Times New Roman" w:cs="Times New Roman"/>
                <w:szCs w:val="21"/>
              </w:rPr>
              <w:t>，</w:t>
            </w:r>
            <w:r w:rsidR="001943A6">
              <w:rPr>
                <w:rFonts w:ascii="Times New Roman" w:eastAsia="宋体" w:hAnsi="Times New Roman" w:cs="Times New Roman"/>
                <w:szCs w:val="21"/>
              </w:rPr>
              <w:t>未能对</w:t>
            </w:r>
            <w:r w:rsidR="0012786D" w:rsidRPr="0012786D">
              <w:rPr>
                <w:rFonts w:ascii="Times New Roman" w:eastAsia="宋体" w:hAnsi="Times New Roman" w:cs="Times New Roman" w:hint="eastAsia"/>
                <w:szCs w:val="21"/>
              </w:rPr>
              <w:t>教师和学校发展起到助推作用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）学校教科研工作组织不力，尚未形成人人参与的科研氛围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近三</w:t>
            </w:r>
            <w:r w:rsidR="002A3F1D">
              <w:rPr>
                <w:rFonts w:ascii="Times New Roman" w:eastAsia="宋体" w:hAnsi="Times New Roman" w:cs="Times New Roman" w:hint="eastAsia"/>
                <w:szCs w:val="21"/>
              </w:rPr>
              <w:t>年，无省级及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以上获奖或表彰的科研成果，或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教师在省级</w:t>
            </w:r>
            <w:r w:rsidR="002A3F1D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及</w:t>
            </w:r>
            <w:r w:rsidR="002A3F1D">
              <w:rPr>
                <w:rFonts w:ascii="Times New Roman" w:hAnsi="Times New Roman" w:cs="Times New Roman"/>
                <w:color w:val="000000" w:themeColor="text1"/>
                <w:szCs w:val="21"/>
              </w:rPr>
              <w:t>以上刊物公开发表年均人</w:t>
            </w:r>
            <w:r w:rsidR="002A3F1D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数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比低于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18%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454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21.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重视国内外教育交流与合作，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不断拓宽办学视野。学校多次主办或承办国内外教育交流活动，积极组织师生参与国内外教育交流。主动与区域内兄弟学校分享与交流发展经验，促进教育教学质量共同提升。注重借鉴国外同行先进的教育教学理念、方法，优化人才培养方式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  <w:vAlign w:val="center"/>
          </w:tcPr>
          <w:p w:rsidR="002D7A67" w:rsidRDefault="001D2189" w:rsidP="00912C3F">
            <w:pPr>
              <w:adjustRightInd w:val="0"/>
              <w:snapToGrid w:val="0"/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加强国内教育交流，</w:t>
            </w:r>
            <w:r w:rsidR="002A3F1D">
              <w:rPr>
                <w:rFonts w:ascii="Times New Roman" w:hAnsi="Times New Roman" w:cs="Times New Roman"/>
                <w:color w:val="000000" w:themeColor="text1"/>
                <w:szCs w:val="21"/>
              </w:rPr>
              <w:t>近</w:t>
            </w:r>
            <w:r w:rsidR="002A3F1D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年至少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主办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或承办设区市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及其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以上教育教学研讨交流活动</w:t>
            </w:r>
            <w:r w:rsidR="002A3F1D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次，组织参加设区市及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其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以上各类教育教学研讨交流的教师不少于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30%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  <w:p w:rsidR="002D7A67" w:rsidRDefault="001D2189" w:rsidP="00912C3F">
            <w:pPr>
              <w:adjustRightInd w:val="0"/>
              <w:snapToGrid w:val="0"/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加强国际理解教育，积极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与国外教育机构及同行联系与交流，注重借鉴国外同行先进的教育教学理念、方法，优化人才培养方式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。学校有国际教育交流友好学校，定期组织师生互访，开展教育交流活动</w:t>
            </w:r>
            <w:r w:rsidR="009240B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 w:rsidR="008962CA">
              <w:rPr>
                <w:rFonts w:ascii="Times New Roman" w:eastAsia="宋体" w:hAnsi="Times New Roman" w:cs="Times New Roman" w:hint="eastAsia"/>
                <w:szCs w:val="21"/>
              </w:rPr>
              <w:t>近三年，</w:t>
            </w:r>
            <w:r>
              <w:rPr>
                <w:rFonts w:ascii="Times New Roman" w:eastAsia="宋体" w:hAnsi="Times New Roman" w:cs="Times New Roman"/>
                <w:szCs w:val="21"/>
              </w:rPr>
              <w:t>未</w:t>
            </w:r>
            <w:r w:rsidR="002A78F2">
              <w:rPr>
                <w:rFonts w:ascii="Times New Roman" w:eastAsia="宋体" w:hAnsi="Times New Roman" w:cs="Times New Roman" w:hint="eastAsia"/>
                <w:szCs w:val="21"/>
              </w:rPr>
              <w:t>组织面向</w:t>
            </w:r>
            <w:r>
              <w:rPr>
                <w:rFonts w:ascii="Times New Roman" w:eastAsia="宋体" w:hAnsi="Times New Roman" w:cs="Times New Roman"/>
                <w:szCs w:val="21"/>
              </w:rPr>
              <w:t>兄弟学校</w:t>
            </w:r>
            <w:r w:rsidR="002A78F2">
              <w:rPr>
                <w:rFonts w:ascii="Times New Roman" w:eastAsia="宋体" w:hAnsi="Times New Roman" w:cs="Times New Roman" w:hint="eastAsia"/>
                <w:szCs w:val="21"/>
              </w:rPr>
              <w:t>的示范性</w:t>
            </w:r>
            <w:r>
              <w:rPr>
                <w:rFonts w:ascii="Times New Roman" w:eastAsia="宋体" w:hAnsi="Times New Roman" w:cs="Times New Roman"/>
                <w:szCs w:val="21"/>
              </w:rPr>
              <w:t>教育教学活动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2</w:t>
            </w:r>
            <w:r w:rsidR="008962CA">
              <w:rPr>
                <w:rFonts w:ascii="Times New Roman" w:hAnsi="Times New Roman" w:cs="Times New Roman"/>
                <w:color w:val="000000" w:themeColor="text1"/>
                <w:szCs w:val="21"/>
              </w:rPr>
              <w:t>）近</w:t>
            </w:r>
            <w:r w:rsidR="008962CA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三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年</w:t>
            </w:r>
            <w:r w:rsidR="008962CA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，</w:t>
            </w:r>
            <w:r w:rsidR="008962CA">
              <w:rPr>
                <w:rFonts w:ascii="Times New Roman" w:hAnsi="Times New Roman" w:cs="Times New Roman"/>
                <w:color w:val="000000" w:themeColor="text1"/>
                <w:szCs w:val="21"/>
              </w:rPr>
              <w:t>未组织师生进行国际交流活动</w:t>
            </w:r>
            <w:r w:rsidR="008962CA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或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无国际交流项目</w:t>
            </w:r>
            <w:r w:rsidR="00036DD7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</w:tr>
      <w:tr w:rsidR="002D7A67">
        <w:trPr>
          <w:trHeight w:val="1134"/>
          <w:jc w:val="center"/>
        </w:trPr>
        <w:tc>
          <w:tcPr>
            <w:tcW w:w="641" w:type="dxa"/>
            <w:vMerge w:val="restart"/>
            <w:tcBorders>
              <w:left w:val="single" w:sz="4" w:space="0" w:color="auto"/>
            </w:tcBorders>
            <w:vAlign w:val="center"/>
          </w:tcPr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五</w:t>
            </w:r>
          </w:p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办</w:t>
            </w:r>
          </w:p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学</w:t>
            </w:r>
          </w:p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绩</w:t>
            </w:r>
            <w:proofErr w:type="gramEnd"/>
          </w:p>
          <w:p w:rsidR="002D7A67" w:rsidRDefault="001D2189" w:rsidP="00912C3F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效</w:t>
            </w: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22.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学生全面发展，综合素质好。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学业成绩优良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，学习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负担合理，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创新精神、实践能力和社会责任感强。积极参加科技创新大赛等各项活动，在设区市及以上各类竞赛中多次获奖。学生社团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类型多样，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活动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内容丰富，参与面广，学生校园生活幸福感强</w:t>
            </w:r>
            <w:r w:rsidR="00301DFB">
              <w:rPr>
                <w:rFonts w:ascii="Times New Roman" w:hAnsi="Times New Roman" w:cs="Times New Roman" w:hint="eastAsia"/>
                <w:bCs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）学生全面发展，学生综合素质合格率达到</w:t>
            </w:r>
            <w:r>
              <w:rPr>
                <w:rFonts w:ascii="Times New Roman" w:eastAsia="宋体" w:hAnsi="Times New Roman" w:cs="Times New Roman"/>
                <w:szCs w:val="21"/>
              </w:rPr>
              <w:t>9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%</w:t>
            </w:r>
            <w:r>
              <w:rPr>
                <w:rFonts w:ascii="Times New Roman" w:eastAsia="宋体" w:hAnsi="Times New Roman" w:cs="Times New Roman"/>
                <w:szCs w:val="21"/>
              </w:rPr>
              <w:t>以上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 w:rsidR="008962CA">
              <w:rPr>
                <w:rFonts w:ascii="Times New Roman" w:eastAsia="宋体" w:hAnsi="Times New Roman" w:cs="Times New Roman"/>
                <w:szCs w:val="21"/>
              </w:rPr>
              <w:t>）近三年学生中未发生违法犯罪案件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）学生体质健康监测工作制度健全，毕业生体质健康合格率达到</w:t>
            </w:r>
            <w:r>
              <w:rPr>
                <w:rFonts w:ascii="Times New Roman" w:eastAsia="宋体" w:hAnsi="Times New Roman" w:cs="Times New Roman"/>
                <w:szCs w:val="21"/>
              </w:rPr>
              <w:t>95%</w:t>
            </w:r>
            <w:r>
              <w:rPr>
                <w:rFonts w:ascii="Times New Roman" w:eastAsia="宋体" w:hAnsi="Times New Roman" w:cs="Times New Roman"/>
                <w:szCs w:val="21"/>
              </w:rPr>
              <w:t>以上；毕业生视力不良率低于</w:t>
            </w:r>
            <w:r>
              <w:rPr>
                <w:rFonts w:ascii="Times New Roman" w:eastAsia="宋体" w:hAnsi="Times New Roman" w:cs="Times New Roman"/>
                <w:szCs w:val="21"/>
              </w:rPr>
              <w:t>70%</w:t>
            </w:r>
            <w:r>
              <w:rPr>
                <w:rFonts w:ascii="Times New Roman" w:eastAsia="宋体" w:hAnsi="Times New Roman" w:cs="Times New Roman"/>
                <w:szCs w:val="21"/>
              </w:rPr>
              <w:t>，或升幅低于入学初</w:t>
            </w:r>
            <w:r>
              <w:rPr>
                <w:rFonts w:ascii="Times New Roman" w:eastAsia="宋体" w:hAnsi="Times New Roman" w:cs="Times New Roman"/>
                <w:szCs w:val="21"/>
              </w:rPr>
              <w:t>5%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szCs w:val="21"/>
              </w:rPr>
              <w:t>）学业负担合理，学业水平测试一次合格率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达</w:t>
            </w:r>
            <w:r>
              <w:rPr>
                <w:rFonts w:ascii="Times New Roman" w:eastAsia="宋体" w:hAnsi="Times New Roman" w:cs="Times New Roman"/>
                <w:szCs w:val="21"/>
              </w:rPr>
              <w:t>98%</w:t>
            </w:r>
            <w:r>
              <w:rPr>
                <w:rFonts w:ascii="Times New Roman" w:eastAsia="宋体" w:hAnsi="Times New Roman" w:cs="Times New Roman"/>
                <w:szCs w:val="21"/>
              </w:rPr>
              <w:t>以上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leftChars="-1" w:left="-2" w:right="72"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）教学质量优良、稳定，</w:t>
            </w:r>
            <w:r w:rsidRPr="0024202F">
              <w:rPr>
                <w:rFonts w:ascii="Times New Roman" w:eastAsia="宋体" w:hAnsi="Times New Roman" w:cs="Times New Roman"/>
                <w:szCs w:val="21"/>
              </w:rPr>
              <w:t>近</w:t>
            </w:r>
            <w:r>
              <w:rPr>
                <w:rFonts w:ascii="Times New Roman" w:eastAsia="宋体" w:hAnsi="Times New Roman" w:cs="Times New Roman"/>
                <w:b/>
                <w:szCs w:val="21"/>
              </w:rPr>
              <w:t>三</w:t>
            </w:r>
            <w:r w:rsidRPr="0024202F">
              <w:rPr>
                <w:rFonts w:ascii="Times New Roman" w:eastAsia="宋体" w:hAnsi="Times New Roman" w:cs="Times New Roman"/>
                <w:szCs w:val="21"/>
              </w:rPr>
              <w:t>年</w:t>
            </w:r>
            <w:r w:rsidR="0024202F">
              <w:rPr>
                <w:rFonts w:ascii="Times New Roman" w:eastAsia="宋体" w:hAnsi="Times New Roman" w:cs="Times New Roman" w:hint="eastAsia"/>
                <w:szCs w:val="21"/>
              </w:rPr>
              <w:t>每年</w:t>
            </w:r>
            <w:r>
              <w:rPr>
                <w:rFonts w:ascii="Times New Roman" w:eastAsia="宋体" w:hAnsi="Times New Roman" w:cs="Times New Roman"/>
                <w:szCs w:val="21"/>
              </w:rPr>
              <w:t>均有</w:t>
            </w:r>
            <w:r>
              <w:rPr>
                <w:rFonts w:ascii="Times New Roman" w:eastAsia="宋体" w:hAnsi="Times New Roman" w:cs="Times New Roman"/>
                <w:szCs w:val="21"/>
              </w:rPr>
              <w:t>80%</w:t>
            </w:r>
            <w:r>
              <w:rPr>
                <w:rFonts w:ascii="Times New Roman" w:eastAsia="宋体" w:hAnsi="Times New Roman" w:cs="Times New Roman"/>
                <w:szCs w:val="21"/>
              </w:rPr>
              <w:t>左右的毕业生升入本科院校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szCs w:val="21"/>
              </w:rPr>
              <w:t>）学生社团类型多样、活动丰富、参与面广，社团数量不低于高中班级总数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  <w:r>
              <w:rPr>
                <w:rFonts w:ascii="Times New Roman" w:eastAsia="宋体" w:hAnsi="Times New Roman" w:cs="Times New Roman"/>
                <w:szCs w:val="21"/>
              </w:rPr>
              <w:t>社团组织结构规范、健全，学校能够提供必要的场所、经费等支持和相应的专业指导；社团活动在学生综合素质培养等方面发挥积极作用，</w:t>
            </w: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成为学生自主成长的重要平台，有效促进学生全面而有个性的发展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7</w:t>
            </w:r>
            <w:r>
              <w:rPr>
                <w:rFonts w:ascii="Times New Roman" w:eastAsia="宋体" w:hAnsi="Times New Roman" w:cs="Times New Roman"/>
                <w:szCs w:val="21"/>
              </w:rPr>
              <w:t>）近三年有</w:t>
            </w:r>
            <w:r>
              <w:rPr>
                <w:rFonts w:ascii="Times New Roman" w:eastAsia="宋体" w:hAnsi="Times New Roman" w:cs="Times New Roman"/>
                <w:szCs w:val="21"/>
              </w:rPr>
              <w:t>15%</w:t>
            </w:r>
            <w:r>
              <w:rPr>
                <w:rFonts w:ascii="Times New Roman" w:eastAsia="宋体" w:hAnsi="Times New Roman" w:cs="Times New Roman"/>
                <w:szCs w:val="21"/>
              </w:rPr>
              <w:t>以上学生在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设区市级及以上</w:t>
            </w:r>
            <w:r>
              <w:rPr>
                <w:rFonts w:ascii="Times New Roman" w:eastAsia="宋体" w:hAnsi="Times New Roman" w:cs="Times New Roman"/>
                <w:szCs w:val="21"/>
              </w:rPr>
              <w:t>举办的各类活动中获奖（含招飞、市级以上专业运动员输送），每年都有特长生被高校录取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）学生综合素质评价合格率低于</w:t>
            </w:r>
            <w:r>
              <w:rPr>
                <w:rFonts w:ascii="Times New Roman" w:eastAsia="宋体" w:hAnsi="Times New Roman" w:cs="Times New Roman"/>
                <w:szCs w:val="21"/>
              </w:rPr>
              <w:t>90%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）毕业生体质健康合格率低于</w:t>
            </w:r>
            <w:r>
              <w:rPr>
                <w:rFonts w:ascii="Times New Roman" w:eastAsia="宋体" w:hAnsi="Times New Roman" w:cs="Times New Roman"/>
                <w:szCs w:val="21"/>
              </w:rPr>
              <w:t>85%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）学业水平测试一次合格率低于</w:t>
            </w:r>
            <w:r>
              <w:rPr>
                <w:rFonts w:ascii="Times New Roman" w:eastAsia="宋体" w:hAnsi="Times New Roman" w:cs="Times New Roman"/>
                <w:szCs w:val="21"/>
              </w:rPr>
              <w:t>95%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szCs w:val="21"/>
              </w:rPr>
              <w:t>）连续三年升入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本科</w:t>
            </w:r>
            <w:r>
              <w:rPr>
                <w:rFonts w:ascii="Times New Roman" w:eastAsia="宋体" w:hAnsi="Times New Roman" w:cs="Times New Roman"/>
                <w:szCs w:val="21"/>
              </w:rPr>
              <w:t>院校的毕业生低于全省平均水平</w:t>
            </w:r>
            <w:r>
              <w:rPr>
                <w:rFonts w:ascii="Times New Roman" w:eastAsia="宋体" w:hAnsi="Times New Roman" w:cs="Times New Roman"/>
                <w:szCs w:val="21"/>
              </w:rPr>
              <w:t>10</w:t>
            </w:r>
            <w:r>
              <w:rPr>
                <w:rFonts w:ascii="Times New Roman" w:eastAsia="宋体" w:hAnsi="Times New Roman" w:cs="Times New Roman"/>
                <w:szCs w:val="21"/>
              </w:rPr>
              <w:t>个百分点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）学生社团数量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不足班级总数的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2/3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，或社团活动开展不正常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</w:tr>
      <w:tr w:rsidR="002D7A67" w:rsidTr="002F13CC">
        <w:trPr>
          <w:trHeight w:val="315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23.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积极</w:t>
            </w:r>
            <w:proofErr w:type="gramStart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践行</w:t>
            </w:r>
            <w:proofErr w:type="gramEnd"/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先进的办学理念，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经多年积淀与凝练，形成本校特有的传统优势、办学特色和良好的办学声誉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）有先进办学理念，经多年追求、积淀，形成学校传统优势和办学特色，并成为学校声誉的重要标志，在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设区市</w:t>
            </w:r>
            <w:r>
              <w:rPr>
                <w:rFonts w:ascii="Times New Roman" w:eastAsia="宋体" w:hAnsi="Times New Roman" w:cs="Times New Roman"/>
                <w:szCs w:val="21"/>
              </w:rPr>
              <w:t>内外有较大的影响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 w:rsidR="008962CA"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以先进的办学理念、科学的办学目标统领学校特色建设规划，办学特色有一定时间的建设过程，</w:t>
            </w: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有专门的科研课题、</w:t>
            </w:r>
            <w:proofErr w:type="gramStart"/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校本化</w:t>
            </w:r>
            <w:proofErr w:type="gramEnd"/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特色课程等作支撑，</w:t>
            </w:r>
            <w:r>
              <w:rPr>
                <w:rFonts w:ascii="Times New Roman" w:eastAsia="宋体" w:hAnsi="Times New Roman" w:cs="Times New Roman"/>
                <w:szCs w:val="21"/>
              </w:rPr>
              <w:t>有</w:t>
            </w:r>
            <w:r>
              <w:rPr>
                <w:rFonts w:ascii="Times New Roman" w:eastAsia="宋体" w:hAnsi="Times New Roman" w:cs="Times New Roman"/>
                <w:szCs w:val="21"/>
              </w:rPr>
              <w:t>90%</w:t>
            </w:r>
            <w:r w:rsidR="002F13CC">
              <w:rPr>
                <w:rFonts w:ascii="Times New Roman" w:eastAsia="宋体" w:hAnsi="Times New Roman" w:cs="Times New Roman"/>
                <w:szCs w:val="21"/>
              </w:rPr>
              <w:t>以上的学生受益</w:t>
            </w:r>
            <w:r>
              <w:rPr>
                <w:rFonts w:ascii="Times New Roman" w:eastAsia="宋体" w:hAnsi="Times New Roman" w:cs="Times New Roman"/>
                <w:szCs w:val="21"/>
              </w:rPr>
              <w:t>，有显性的阶段成果，有一定的社会影响力和同行认同度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）自评概述与特色报告对办学特色的提炼、总结基本一致、特色总结与办学实际基本一致；特色报告具有个性，充分体现特色内涵、建设成果与经验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）办学特色定位不准</w:t>
            </w:r>
            <w:r w:rsidR="0024202F">
              <w:rPr>
                <w:rFonts w:ascii="Times New Roman" w:eastAsia="宋体" w:hAnsi="Times New Roman" w:cs="Times New Roman" w:hint="eastAsia"/>
                <w:szCs w:val="21"/>
              </w:rPr>
              <w:t>确</w:t>
            </w:r>
            <w:r>
              <w:rPr>
                <w:rFonts w:ascii="Times New Roman" w:eastAsia="宋体" w:hAnsi="Times New Roman" w:cs="Times New Roman"/>
                <w:szCs w:val="21"/>
              </w:rPr>
              <w:t>，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或</w:t>
            </w:r>
            <w:r>
              <w:rPr>
                <w:rFonts w:ascii="Times New Roman" w:eastAsia="宋体" w:hAnsi="Times New Roman" w:cs="Times New Roman"/>
                <w:szCs w:val="21"/>
              </w:rPr>
              <w:t>不能惠及大多数学生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）办学特色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建设缺乏课题或课程的支撑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</w:tr>
      <w:tr w:rsidR="002D7A67">
        <w:trPr>
          <w:trHeight w:val="493"/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200" w:firstLine="42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24.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学校是所在区域实施素质教育的典范、教育教学改革的先行者、教师专业发展和教育科研的基地，其经验在</w:t>
            </w:r>
            <w:r>
              <w:rPr>
                <w:rFonts w:ascii="Times New Roman" w:hAnsi="Times New Roman" w:cs="Times New Roman"/>
                <w:bCs/>
                <w:color w:val="000000" w:themeColor="text1"/>
                <w:szCs w:val="21"/>
              </w:rPr>
              <w:t>设区市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及以上范围内推广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）学校在素质教育的目标设计、制度创新、模式探索等方面有研究、有实践、有成效，在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设区市范围</w:t>
            </w:r>
            <w:r>
              <w:rPr>
                <w:rFonts w:ascii="Times New Roman" w:eastAsia="宋体" w:hAnsi="Times New Roman" w:cs="Times New Roman"/>
                <w:szCs w:val="21"/>
              </w:rPr>
              <w:t>内发挥典范作用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大力推进教育教学改革，改革成果</w:t>
            </w:r>
            <w:r>
              <w:rPr>
                <w:rFonts w:ascii="Times New Roman" w:eastAsia="宋体" w:hAnsi="Times New Roman" w:cs="Times New Roman"/>
                <w:szCs w:val="21"/>
              </w:rPr>
              <w:t>在校内外得到推广应用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教育科研成果丰硕，有效促进教师专业发展，其经验可资兄弟学校学习借鉴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2015FC" w:rsidP="002015FC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 w:rsidRPr="002015FC">
              <w:rPr>
                <w:rFonts w:ascii="Times New Roman" w:eastAsia="宋体" w:hAnsi="Times New Roman" w:cs="Times New Roman" w:hint="eastAsia"/>
                <w:szCs w:val="21"/>
              </w:rPr>
              <w:t>学校明显存在片面追求升学率的倾向，</w:t>
            </w:r>
            <w:r w:rsidR="001D2189">
              <w:rPr>
                <w:rFonts w:ascii="Times New Roman" w:eastAsia="宋体" w:hAnsi="Times New Roman" w:cs="Times New Roman"/>
                <w:szCs w:val="21"/>
              </w:rPr>
              <w:t>学生课业负担过重，学生及家长满意度低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2015FC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（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）</w:t>
            </w:r>
            <w:r w:rsidR="001D2189">
              <w:rPr>
                <w:rFonts w:ascii="Times New Roman" w:eastAsia="宋体" w:hAnsi="Times New Roman" w:cs="Times New Roman"/>
                <w:szCs w:val="21"/>
              </w:rPr>
              <w:t>近</w:t>
            </w:r>
            <w:r w:rsidR="001D2189">
              <w:rPr>
                <w:rFonts w:ascii="Times New Roman" w:eastAsia="宋体" w:hAnsi="Times New Roman" w:cs="Times New Roman"/>
                <w:szCs w:val="21"/>
              </w:rPr>
              <w:t>3</w:t>
            </w:r>
            <w:r w:rsidR="001D2189">
              <w:rPr>
                <w:rFonts w:ascii="Times New Roman" w:eastAsia="宋体" w:hAnsi="Times New Roman" w:cs="Times New Roman"/>
                <w:szCs w:val="21"/>
              </w:rPr>
              <w:t>年无教学改革经验或研究成果在区域范围内推广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</w:tr>
      <w:tr w:rsidR="002D7A67">
        <w:trPr>
          <w:jc w:val="center"/>
        </w:trPr>
        <w:tc>
          <w:tcPr>
            <w:tcW w:w="641" w:type="dxa"/>
            <w:vMerge/>
            <w:tcBorders>
              <w:left w:val="single" w:sz="4" w:space="0" w:color="auto"/>
            </w:tcBorders>
            <w:vAlign w:val="center"/>
          </w:tcPr>
          <w:p w:rsidR="002D7A67" w:rsidRDefault="002D7A67" w:rsidP="00912C3F">
            <w:pPr>
              <w:spacing w:line="36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94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25.</w:t>
            </w:r>
            <w:r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t>充分发挥学校优势，服务社区，多渠道为兄弟学校发展提供支持。学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</w:rPr>
              <w:lastRenderedPageBreak/>
              <w:t>生、家长、毕业生满意度高，同行及高等学校评价好，认可度高</w:t>
            </w:r>
            <w:r w:rsidR="00301DFB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3642" w:type="dxa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</w:rPr>
              <w:t>）开发开放学校资源，发挥学校人才优势，利用多种形式服务社区，使学校成为社区教育的基地、精神文明的窗口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）多形式为兄弟学校提供服务、支持，主动输送</w:t>
            </w:r>
            <w:r w:rsidR="0087239E">
              <w:rPr>
                <w:rFonts w:ascii="Times New Roman" w:eastAsia="宋体" w:hAnsi="Times New Roman" w:cs="Times New Roman"/>
                <w:szCs w:val="21"/>
              </w:rPr>
              <w:t>管理干部和优秀教师，不抢生源、不挖名师，区域内学校同行评价满意</w:t>
            </w:r>
            <w:r w:rsidR="0087239E">
              <w:rPr>
                <w:rFonts w:ascii="Times New Roman" w:eastAsia="宋体" w:hAnsi="Times New Roman" w:cs="Times New Roman" w:hint="eastAsia"/>
                <w:szCs w:val="21"/>
              </w:rPr>
              <w:t>度</w:t>
            </w:r>
            <w:r>
              <w:rPr>
                <w:rFonts w:ascii="Times New Roman" w:eastAsia="宋体" w:hAnsi="Times New Roman" w:cs="Times New Roman"/>
                <w:szCs w:val="21"/>
              </w:rPr>
              <w:t>达到</w:t>
            </w:r>
            <w:r>
              <w:rPr>
                <w:rFonts w:ascii="Times New Roman" w:eastAsia="宋体" w:hAnsi="Times New Roman" w:cs="Times New Roman"/>
                <w:szCs w:val="21"/>
              </w:rPr>
              <w:t>80%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）建立满意度调查制度和毕业生发展跟踪调查机制，学生、家长、往届毕业生对学校评价好，各方评价的满意率在</w:t>
            </w:r>
            <w:r>
              <w:rPr>
                <w:rFonts w:ascii="Times New Roman" w:eastAsia="宋体" w:hAnsi="Times New Roman" w:cs="Times New Roman"/>
                <w:szCs w:val="21"/>
              </w:rPr>
              <w:t>80%</w:t>
            </w:r>
            <w:r>
              <w:rPr>
                <w:rFonts w:ascii="Times New Roman" w:eastAsia="宋体" w:hAnsi="Times New Roman" w:cs="Times New Roman"/>
                <w:szCs w:val="21"/>
              </w:rPr>
              <w:t>以上</w:t>
            </w:r>
            <w:r w:rsidR="009240B3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  <w:tc>
          <w:tcPr>
            <w:tcW w:w="2952" w:type="dxa"/>
            <w:vAlign w:val="center"/>
          </w:tcPr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1</w:t>
            </w:r>
            <w:r w:rsidR="0087239E">
              <w:rPr>
                <w:rFonts w:ascii="Times New Roman" w:eastAsia="宋体" w:hAnsi="Times New Roman" w:cs="Times New Roman"/>
                <w:szCs w:val="21"/>
              </w:rPr>
              <w:t>）学生、家长、往届毕业生对学校评价满意</w:t>
            </w:r>
            <w:r w:rsidR="0087239E">
              <w:rPr>
                <w:rFonts w:ascii="Times New Roman" w:eastAsia="宋体" w:hAnsi="Times New Roman" w:cs="Times New Roman" w:hint="eastAsia"/>
                <w:szCs w:val="21"/>
              </w:rPr>
              <w:t>度</w:t>
            </w:r>
            <w:r>
              <w:rPr>
                <w:rFonts w:ascii="Times New Roman" w:eastAsia="宋体" w:hAnsi="Times New Roman" w:cs="Times New Roman"/>
                <w:szCs w:val="21"/>
              </w:rPr>
              <w:t>低于</w:t>
            </w:r>
            <w:r>
              <w:rPr>
                <w:rFonts w:ascii="Times New Roman" w:eastAsia="宋体" w:hAnsi="Times New Roman" w:cs="Times New Roman"/>
                <w:szCs w:val="21"/>
              </w:rPr>
              <w:t>70%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szCs w:val="21"/>
              </w:rPr>
              <w:t>）学校在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设区市</w:t>
            </w:r>
            <w:r>
              <w:rPr>
                <w:rFonts w:ascii="Times New Roman" w:eastAsia="宋体" w:hAnsi="Times New Roman" w:cs="Times New Roman"/>
                <w:szCs w:val="21"/>
              </w:rPr>
              <w:t>范围内的</w:t>
            </w: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同行评价中满意度低于</w:t>
            </w:r>
            <w:r>
              <w:rPr>
                <w:rFonts w:ascii="Times New Roman" w:eastAsia="宋体" w:hAnsi="Times New Roman" w:cs="Times New Roman"/>
                <w:szCs w:val="21"/>
              </w:rPr>
              <w:t>70%</w:t>
            </w:r>
            <w:r>
              <w:rPr>
                <w:rFonts w:ascii="Times New Roman" w:eastAsia="宋体" w:hAnsi="Times New Roman" w:cs="Times New Roman"/>
                <w:szCs w:val="21"/>
              </w:rPr>
              <w:t>。</w:t>
            </w:r>
          </w:p>
          <w:p w:rsidR="002D7A67" w:rsidRDefault="001D2189" w:rsidP="00912C3F">
            <w:pPr>
              <w:spacing w:line="360" w:lineRule="exact"/>
              <w:ind w:firstLineChars="100" w:firstLine="210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szCs w:val="21"/>
              </w:rPr>
              <w:t>）未建立满意度调查制度和毕业生发展跟踪调查机制</w:t>
            </w:r>
            <w:r w:rsidR="00036DD7">
              <w:rPr>
                <w:rFonts w:ascii="Times New Roman" w:eastAsia="宋体" w:hAnsi="Times New Roman" w:cs="Times New Roman" w:hint="eastAsia"/>
                <w:szCs w:val="21"/>
              </w:rPr>
              <w:t>。</w:t>
            </w:r>
          </w:p>
        </w:tc>
      </w:tr>
    </w:tbl>
    <w:p w:rsidR="002D7A67" w:rsidRDefault="002D7A67">
      <w:pPr>
        <w:ind w:firstLineChars="200" w:firstLine="420"/>
        <w:rPr>
          <w:rFonts w:ascii="Times New Roman" w:hAnsi="Times New Roman" w:cs="Times New Roman"/>
          <w:color w:val="000000" w:themeColor="text1"/>
          <w:szCs w:val="21"/>
        </w:rPr>
      </w:pPr>
    </w:p>
    <w:sectPr w:rsidR="002D7A67">
      <w:footerReference w:type="even" r:id="rId9"/>
      <w:footerReference w:type="default" r:id="rId10"/>
      <w:pgSz w:w="11906" w:h="16838"/>
      <w:pgMar w:top="1474" w:right="1474" w:bottom="1588" w:left="1588" w:header="851" w:footer="992" w:gutter="0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4F6" w:rsidRDefault="004944F6">
      <w:r>
        <w:separator/>
      </w:r>
    </w:p>
  </w:endnote>
  <w:endnote w:type="continuationSeparator" w:id="0">
    <w:p w:rsidR="004944F6" w:rsidRDefault="00494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A67" w:rsidRDefault="001D2189">
    <w:pPr>
      <w:pStyle w:val="a6"/>
      <w:framePr w:wrap="around" w:vAnchor="text" w:hAnchor="margin" w:xAlign="center" w:y="1"/>
      <w:rPr>
        <w:rStyle w:val="a8"/>
      </w:rPr>
    </w:pPr>
    <w:r>
      <w:fldChar w:fldCharType="begin"/>
    </w:r>
    <w:r>
      <w:rPr>
        <w:rStyle w:val="a8"/>
      </w:rPr>
      <w:instrText xml:space="preserve">PAGE  </w:instrText>
    </w:r>
    <w:r>
      <w:fldChar w:fldCharType="end"/>
    </w:r>
  </w:p>
  <w:p w:rsidR="002D7A67" w:rsidRDefault="002D7A67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A67" w:rsidRDefault="001D2189">
    <w:pPr>
      <w:pStyle w:val="a6"/>
      <w:framePr w:wrap="around" w:vAnchor="text" w:hAnchor="margin" w:xAlign="center" w:y="1"/>
      <w:rPr>
        <w:rStyle w:val="a8"/>
      </w:rPr>
    </w:pPr>
    <w:r>
      <w:fldChar w:fldCharType="begin"/>
    </w:r>
    <w:r>
      <w:rPr>
        <w:rStyle w:val="a8"/>
      </w:rPr>
      <w:instrText xml:space="preserve">PAGE  </w:instrText>
    </w:r>
    <w:r>
      <w:fldChar w:fldCharType="separate"/>
    </w:r>
    <w:r w:rsidR="00750BB1">
      <w:rPr>
        <w:rStyle w:val="a8"/>
        <w:noProof/>
      </w:rPr>
      <w:t>1</w:t>
    </w:r>
    <w:r>
      <w:fldChar w:fldCharType="end"/>
    </w:r>
  </w:p>
  <w:p w:rsidR="002D7A67" w:rsidRDefault="002D7A6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4F6" w:rsidRDefault="004944F6">
      <w:r>
        <w:separator/>
      </w:r>
    </w:p>
  </w:footnote>
  <w:footnote w:type="continuationSeparator" w:id="0">
    <w:p w:rsidR="004944F6" w:rsidRDefault="004944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BC2"/>
    <w:rsid w:val="00020823"/>
    <w:rsid w:val="00023E29"/>
    <w:rsid w:val="000254B1"/>
    <w:rsid w:val="00026B34"/>
    <w:rsid w:val="00036DD7"/>
    <w:rsid w:val="00044F40"/>
    <w:rsid w:val="00057F33"/>
    <w:rsid w:val="00092C42"/>
    <w:rsid w:val="00095BE8"/>
    <w:rsid w:val="00095C1C"/>
    <w:rsid w:val="000C4747"/>
    <w:rsid w:val="0011196C"/>
    <w:rsid w:val="001144E5"/>
    <w:rsid w:val="0012786D"/>
    <w:rsid w:val="001340F2"/>
    <w:rsid w:val="00172945"/>
    <w:rsid w:val="00176230"/>
    <w:rsid w:val="001943A6"/>
    <w:rsid w:val="001B0CB8"/>
    <w:rsid w:val="001C0B5A"/>
    <w:rsid w:val="001D2189"/>
    <w:rsid w:val="001E615E"/>
    <w:rsid w:val="002015FC"/>
    <w:rsid w:val="0024202F"/>
    <w:rsid w:val="00246FF2"/>
    <w:rsid w:val="002720EF"/>
    <w:rsid w:val="0028367D"/>
    <w:rsid w:val="002A3F1D"/>
    <w:rsid w:val="002A63C3"/>
    <w:rsid w:val="002A6AA6"/>
    <w:rsid w:val="002A78F2"/>
    <w:rsid w:val="002D7A67"/>
    <w:rsid w:val="002F13CC"/>
    <w:rsid w:val="002F4182"/>
    <w:rsid w:val="003015D2"/>
    <w:rsid w:val="00301DFB"/>
    <w:rsid w:val="00316404"/>
    <w:rsid w:val="00324E8E"/>
    <w:rsid w:val="00336858"/>
    <w:rsid w:val="00370B1F"/>
    <w:rsid w:val="003A70ED"/>
    <w:rsid w:val="003C2999"/>
    <w:rsid w:val="003F46F7"/>
    <w:rsid w:val="004103EE"/>
    <w:rsid w:val="00476AF7"/>
    <w:rsid w:val="0048685C"/>
    <w:rsid w:val="004944F6"/>
    <w:rsid w:val="004970B9"/>
    <w:rsid w:val="004A1CE2"/>
    <w:rsid w:val="004C0C7A"/>
    <w:rsid w:val="004D7687"/>
    <w:rsid w:val="004E2162"/>
    <w:rsid w:val="0055498C"/>
    <w:rsid w:val="005A07E0"/>
    <w:rsid w:val="005E55E7"/>
    <w:rsid w:val="005E7ECD"/>
    <w:rsid w:val="005F27FE"/>
    <w:rsid w:val="005F79C4"/>
    <w:rsid w:val="006369C0"/>
    <w:rsid w:val="00636C85"/>
    <w:rsid w:val="00644AFC"/>
    <w:rsid w:val="00651795"/>
    <w:rsid w:val="00653E40"/>
    <w:rsid w:val="00670FED"/>
    <w:rsid w:val="00673EB9"/>
    <w:rsid w:val="00680738"/>
    <w:rsid w:val="006A1768"/>
    <w:rsid w:val="006A5794"/>
    <w:rsid w:val="006A7C8E"/>
    <w:rsid w:val="006C0BC4"/>
    <w:rsid w:val="006C5DCF"/>
    <w:rsid w:val="006C7CFE"/>
    <w:rsid w:val="007277F6"/>
    <w:rsid w:val="00745FC9"/>
    <w:rsid w:val="00750BB1"/>
    <w:rsid w:val="00763703"/>
    <w:rsid w:val="00793903"/>
    <w:rsid w:val="0079629B"/>
    <w:rsid w:val="007A6186"/>
    <w:rsid w:val="007B1E14"/>
    <w:rsid w:val="00802D93"/>
    <w:rsid w:val="00870A8E"/>
    <w:rsid w:val="0087239E"/>
    <w:rsid w:val="008865AB"/>
    <w:rsid w:val="008913DC"/>
    <w:rsid w:val="008962CA"/>
    <w:rsid w:val="008B319A"/>
    <w:rsid w:val="008B5953"/>
    <w:rsid w:val="008C04CB"/>
    <w:rsid w:val="008F1E51"/>
    <w:rsid w:val="009012DA"/>
    <w:rsid w:val="009013CE"/>
    <w:rsid w:val="00912C3F"/>
    <w:rsid w:val="009240B3"/>
    <w:rsid w:val="009535D0"/>
    <w:rsid w:val="009622FD"/>
    <w:rsid w:val="00966269"/>
    <w:rsid w:val="009700A1"/>
    <w:rsid w:val="00973E17"/>
    <w:rsid w:val="009A0367"/>
    <w:rsid w:val="009C58AF"/>
    <w:rsid w:val="009C6ED3"/>
    <w:rsid w:val="009D1AAE"/>
    <w:rsid w:val="00A00B0E"/>
    <w:rsid w:val="00A404AB"/>
    <w:rsid w:val="00A43F4C"/>
    <w:rsid w:val="00A750DF"/>
    <w:rsid w:val="00B26171"/>
    <w:rsid w:val="00B36F17"/>
    <w:rsid w:val="00B87665"/>
    <w:rsid w:val="00BA4702"/>
    <w:rsid w:val="00BB4593"/>
    <w:rsid w:val="00BC6243"/>
    <w:rsid w:val="00BD4FD6"/>
    <w:rsid w:val="00BF5597"/>
    <w:rsid w:val="00C26894"/>
    <w:rsid w:val="00C31B03"/>
    <w:rsid w:val="00C64A80"/>
    <w:rsid w:val="00C704B6"/>
    <w:rsid w:val="00CB4B82"/>
    <w:rsid w:val="00CC74E7"/>
    <w:rsid w:val="00CD5B9F"/>
    <w:rsid w:val="00CE2AD5"/>
    <w:rsid w:val="00CF3DFF"/>
    <w:rsid w:val="00CF7B5D"/>
    <w:rsid w:val="00D34534"/>
    <w:rsid w:val="00DC0F3B"/>
    <w:rsid w:val="00DE0069"/>
    <w:rsid w:val="00DE03B9"/>
    <w:rsid w:val="00DE5124"/>
    <w:rsid w:val="00DF2F03"/>
    <w:rsid w:val="00E058B7"/>
    <w:rsid w:val="00E30BC2"/>
    <w:rsid w:val="00ED4D7F"/>
    <w:rsid w:val="00ED62FB"/>
    <w:rsid w:val="00EF2C80"/>
    <w:rsid w:val="00EF51C3"/>
    <w:rsid w:val="00F3230B"/>
    <w:rsid w:val="00F635C7"/>
    <w:rsid w:val="00F7003B"/>
    <w:rsid w:val="00F731D5"/>
    <w:rsid w:val="00F76B9E"/>
    <w:rsid w:val="00FA24AA"/>
    <w:rsid w:val="01022A5B"/>
    <w:rsid w:val="04E3232A"/>
    <w:rsid w:val="075D5338"/>
    <w:rsid w:val="0DC804F1"/>
    <w:rsid w:val="10D515C1"/>
    <w:rsid w:val="10D8174E"/>
    <w:rsid w:val="110B10E4"/>
    <w:rsid w:val="113763E4"/>
    <w:rsid w:val="11B22AD8"/>
    <w:rsid w:val="11E06D8E"/>
    <w:rsid w:val="11F21CA2"/>
    <w:rsid w:val="12715073"/>
    <w:rsid w:val="1DD924D1"/>
    <w:rsid w:val="1DDD33DE"/>
    <w:rsid w:val="1E4D6FCC"/>
    <w:rsid w:val="1EE20CD4"/>
    <w:rsid w:val="26255174"/>
    <w:rsid w:val="27177C1A"/>
    <w:rsid w:val="2C195A44"/>
    <w:rsid w:val="2D633B77"/>
    <w:rsid w:val="2ED537B6"/>
    <w:rsid w:val="33991D48"/>
    <w:rsid w:val="341452E4"/>
    <w:rsid w:val="39FF122A"/>
    <w:rsid w:val="3F8F6C3C"/>
    <w:rsid w:val="44CD1EFC"/>
    <w:rsid w:val="49855C7D"/>
    <w:rsid w:val="4A4B4ADA"/>
    <w:rsid w:val="4B0260C0"/>
    <w:rsid w:val="4B291A13"/>
    <w:rsid w:val="4CCC514A"/>
    <w:rsid w:val="4D143CF0"/>
    <w:rsid w:val="4FDE4EF9"/>
    <w:rsid w:val="524E636B"/>
    <w:rsid w:val="53456676"/>
    <w:rsid w:val="563248AA"/>
    <w:rsid w:val="5A3A0CD8"/>
    <w:rsid w:val="5A3F4C40"/>
    <w:rsid w:val="5B8E65DE"/>
    <w:rsid w:val="5E842F2E"/>
    <w:rsid w:val="622D5F14"/>
    <w:rsid w:val="63376937"/>
    <w:rsid w:val="637F6311"/>
    <w:rsid w:val="6472798A"/>
    <w:rsid w:val="65662D7A"/>
    <w:rsid w:val="69040F31"/>
    <w:rsid w:val="6A65497B"/>
    <w:rsid w:val="721D20D1"/>
    <w:rsid w:val="72477AD5"/>
    <w:rsid w:val="73481B52"/>
    <w:rsid w:val="77F323F6"/>
    <w:rsid w:val="79DF5400"/>
    <w:rsid w:val="7C7E66E7"/>
    <w:rsid w:val="7C9D0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unhideWhenUsed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Body Text Indent" w:semiHidden="0" w:uiPriority="0" w:unhideWhenUsed="0"/>
    <w:lsdException w:name="Subtitle" w:semiHidden="0" w:uiPriority="11" w:unhideWhenUsed="0" w:qFormat="1"/>
    <w:lsdException w:name="Body Text 2" w:semiHidden="0" w:uiPriority="0" w:unhideWhenUsed="0" w:qFormat="1"/>
    <w:lsdException w:name="Hyperlink" w:semiHidden="0" w:uiPriority="0" w:unhideWhenUsed="0" w:qFormat="1"/>
    <w:lsdException w:name="FollowedHyperlink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 w:unhideWhenUsed="0" w:qFormat="1"/>
    <w:lsdException w:name="Balloon Text" w:semiHidden="0" w:uiPriority="0" w:unhideWhenUsed="0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semiHidden/>
    <w:qFormat/>
    <w:pPr>
      <w:shd w:val="clear" w:color="auto" w:fill="000080"/>
    </w:pPr>
    <w:rPr>
      <w:rFonts w:ascii="Times New Roman" w:eastAsia="宋体" w:hAnsi="Times New Roman" w:cs="Times New Roman"/>
      <w:szCs w:val="24"/>
    </w:rPr>
  </w:style>
  <w:style w:type="paragraph" w:styleId="a4">
    <w:name w:val="Body Text Indent"/>
    <w:basedOn w:val="a"/>
    <w:link w:val="Char0"/>
    <w:pPr>
      <w:spacing w:after="120"/>
      <w:ind w:leftChars="200" w:left="420"/>
    </w:pPr>
    <w:rPr>
      <w:rFonts w:ascii="Times New Roman" w:eastAsia="宋体" w:hAnsi="Times New Roman" w:cs="Times New Roman"/>
      <w:szCs w:val="24"/>
    </w:rPr>
  </w:style>
  <w:style w:type="paragraph" w:styleId="a5">
    <w:name w:val="Balloon Text"/>
    <w:basedOn w:val="a"/>
    <w:link w:val="Char1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link w:val="2Char"/>
    <w:qFormat/>
    <w:pPr>
      <w:spacing w:after="120" w:line="480" w:lineRule="auto"/>
    </w:pPr>
    <w:rPr>
      <w:rFonts w:ascii="Times New Roman" w:eastAsia="宋体" w:hAnsi="Times New Roman" w:cs="Times New Roman"/>
      <w:szCs w:val="24"/>
    </w:rPr>
  </w:style>
  <w:style w:type="character" w:styleId="a8">
    <w:name w:val="page number"/>
    <w:basedOn w:val="a0"/>
    <w:qFormat/>
  </w:style>
  <w:style w:type="character" w:styleId="a9">
    <w:name w:val="FollowedHyperlink"/>
    <w:qFormat/>
    <w:rPr>
      <w:color w:val="800080"/>
      <w:u w:val="single"/>
    </w:rPr>
  </w:style>
  <w:style w:type="character" w:styleId="aa">
    <w:name w:val="Hyperlink"/>
    <w:qFormat/>
    <w:rPr>
      <w:color w:val="0000FF"/>
      <w:u w:val="single"/>
    </w:rPr>
  </w:style>
  <w:style w:type="table" w:styleId="ab">
    <w:name w:val="Table Grid"/>
    <w:basedOn w:val="a1"/>
    <w:qFormat/>
    <w:pPr>
      <w:widowControl w:val="0"/>
      <w:jc w:val="both"/>
    </w:pPr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脚 Char"/>
    <w:basedOn w:val="a0"/>
    <w:link w:val="a6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文档结构图 Char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2Char">
    <w:name w:val="正文文本 2 Char"/>
    <w:basedOn w:val="a0"/>
    <w:link w:val="2"/>
    <w:qFormat/>
    <w:rPr>
      <w:rFonts w:ascii="Times New Roman" w:eastAsia="宋体" w:hAnsi="Times New Roman" w:cs="Times New Roman"/>
      <w:szCs w:val="24"/>
    </w:rPr>
  </w:style>
  <w:style w:type="character" w:customStyle="1" w:styleId="Char0">
    <w:name w:val="正文文本缩进 Char"/>
    <w:basedOn w:val="a0"/>
    <w:link w:val="a4"/>
    <w:rPr>
      <w:rFonts w:ascii="Times New Roman" w:eastAsia="宋体" w:hAnsi="Times New Roman" w:cs="Times New Roman"/>
      <w:szCs w:val="24"/>
    </w:rPr>
  </w:style>
  <w:style w:type="paragraph" w:customStyle="1" w:styleId="Char4">
    <w:name w:val="Char"/>
    <w:basedOn w:val="a3"/>
    <w:rPr>
      <w:szCs w:val="20"/>
    </w:rPr>
  </w:style>
  <w:style w:type="character" w:customStyle="1" w:styleId="Char1">
    <w:name w:val="批注框文本 Char"/>
    <w:basedOn w:val="a0"/>
    <w:link w:val="a5"/>
    <w:qFormat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unhideWhenUsed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Body Text Indent" w:semiHidden="0" w:uiPriority="0" w:unhideWhenUsed="0"/>
    <w:lsdException w:name="Subtitle" w:semiHidden="0" w:uiPriority="11" w:unhideWhenUsed="0" w:qFormat="1"/>
    <w:lsdException w:name="Body Text 2" w:semiHidden="0" w:uiPriority="0" w:unhideWhenUsed="0" w:qFormat="1"/>
    <w:lsdException w:name="Hyperlink" w:semiHidden="0" w:uiPriority="0" w:unhideWhenUsed="0" w:qFormat="1"/>
    <w:lsdException w:name="FollowedHyperlink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 w:unhideWhenUsed="0" w:qFormat="1"/>
    <w:lsdException w:name="Balloon Text" w:semiHidden="0" w:uiPriority="0" w:unhideWhenUsed="0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semiHidden/>
    <w:qFormat/>
    <w:pPr>
      <w:shd w:val="clear" w:color="auto" w:fill="000080"/>
    </w:pPr>
    <w:rPr>
      <w:rFonts w:ascii="Times New Roman" w:eastAsia="宋体" w:hAnsi="Times New Roman" w:cs="Times New Roman"/>
      <w:szCs w:val="24"/>
    </w:rPr>
  </w:style>
  <w:style w:type="paragraph" w:styleId="a4">
    <w:name w:val="Body Text Indent"/>
    <w:basedOn w:val="a"/>
    <w:link w:val="Char0"/>
    <w:pPr>
      <w:spacing w:after="120"/>
      <w:ind w:leftChars="200" w:left="420"/>
    </w:pPr>
    <w:rPr>
      <w:rFonts w:ascii="Times New Roman" w:eastAsia="宋体" w:hAnsi="Times New Roman" w:cs="Times New Roman"/>
      <w:szCs w:val="24"/>
    </w:rPr>
  </w:style>
  <w:style w:type="paragraph" w:styleId="a5">
    <w:name w:val="Balloon Text"/>
    <w:basedOn w:val="a"/>
    <w:link w:val="Char1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link w:val="2Char"/>
    <w:qFormat/>
    <w:pPr>
      <w:spacing w:after="120" w:line="480" w:lineRule="auto"/>
    </w:pPr>
    <w:rPr>
      <w:rFonts w:ascii="Times New Roman" w:eastAsia="宋体" w:hAnsi="Times New Roman" w:cs="Times New Roman"/>
      <w:szCs w:val="24"/>
    </w:rPr>
  </w:style>
  <w:style w:type="character" w:styleId="a8">
    <w:name w:val="page number"/>
    <w:basedOn w:val="a0"/>
    <w:qFormat/>
  </w:style>
  <w:style w:type="character" w:styleId="a9">
    <w:name w:val="FollowedHyperlink"/>
    <w:qFormat/>
    <w:rPr>
      <w:color w:val="800080"/>
      <w:u w:val="single"/>
    </w:rPr>
  </w:style>
  <w:style w:type="character" w:styleId="aa">
    <w:name w:val="Hyperlink"/>
    <w:qFormat/>
    <w:rPr>
      <w:color w:val="0000FF"/>
      <w:u w:val="single"/>
    </w:rPr>
  </w:style>
  <w:style w:type="table" w:styleId="ab">
    <w:name w:val="Table Grid"/>
    <w:basedOn w:val="a1"/>
    <w:qFormat/>
    <w:pPr>
      <w:widowControl w:val="0"/>
      <w:jc w:val="both"/>
    </w:pPr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脚 Char"/>
    <w:basedOn w:val="a0"/>
    <w:link w:val="a6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文档结构图 Char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2Char">
    <w:name w:val="正文文本 2 Char"/>
    <w:basedOn w:val="a0"/>
    <w:link w:val="2"/>
    <w:qFormat/>
    <w:rPr>
      <w:rFonts w:ascii="Times New Roman" w:eastAsia="宋体" w:hAnsi="Times New Roman" w:cs="Times New Roman"/>
      <w:szCs w:val="24"/>
    </w:rPr>
  </w:style>
  <w:style w:type="character" w:customStyle="1" w:styleId="Char0">
    <w:name w:val="正文文本缩进 Char"/>
    <w:basedOn w:val="a0"/>
    <w:link w:val="a4"/>
    <w:rPr>
      <w:rFonts w:ascii="Times New Roman" w:eastAsia="宋体" w:hAnsi="Times New Roman" w:cs="Times New Roman"/>
      <w:szCs w:val="24"/>
    </w:rPr>
  </w:style>
  <w:style w:type="paragraph" w:customStyle="1" w:styleId="Char4">
    <w:name w:val="Char"/>
    <w:basedOn w:val="a3"/>
    <w:rPr>
      <w:szCs w:val="20"/>
    </w:rPr>
  </w:style>
  <w:style w:type="character" w:customStyle="1" w:styleId="Char1">
    <w:name w:val="批注框文本 Char"/>
    <w:basedOn w:val="a0"/>
    <w:link w:val="a5"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3882048-036D-4162-9AB6-191A99E25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1841</Words>
  <Characters>10497</Characters>
  <Application>Microsoft Office Word</Application>
  <DocSecurity>0</DocSecurity>
  <Lines>87</Lines>
  <Paragraphs>24</Paragraphs>
  <ScaleCrop>false</ScaleCrop>
  <Company>shendu</Company>
  <LinksUpToDate>false</LinksUpToDate>
  <CharactersWithSpaces>12314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2018-09-03T04:50:00Z</cp:lastPrinted>
  <dcterms:created xsi:type="dcterms:W3CDTF">2018-09-05T01:56:00Z</dcterms:created>
  <dcterms:modified xsi:type="dcterms:W3CDTF">2018-09-05T01:56:00Z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