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28D8" w:rsidRDefault="001B28D8" w:rsidP="001B28D8">
      <w:pPr>
        <w:snapToGrid w:val="0"/>
        <w:rPr>
          <w:rFonts w:ascii="Times New Roman" w:eastAsia="黑体" w:hAnsi="Times New Roman"/>
          <w:sz w:val="32"/>
          <w:szCs w:val="32"/>
        </w:rPr>
      </w:pPr>
      <w:r>
        <w:rPr>
          <w:rFonts w:ascii="Times New Roman" w:eastAsia="黑体" w:hAnsi="Times New Roman"/>
          <w:sz w:val="32"/>
          <w:szCs w:val="32"/>
        </w:rPr>
        <w:t>附件</w:t>
      </w:r>
      <w:r>
        <w:rPr>
          <w:rFonts w:ascii="Times New Roman" w:eastAsia="黑体" w:hAnsi="Times New Roman"/>
          <w:sz w:val="32"/>
          <w:szCs w:val="32"/>
        </w:rPr>
        <w:t>1</w:t>
      </w:r>
    </w:p>
    <w:p w:rsidR="001B28D8" w:rsidRDefault="001B28D8" w:rsidP="001B28D8">
      <w:pPr>
        <w:snapToGrid w:val="0"/>
        <w:rPr>
          <w:rFonts w:ascii="Times New Roman" w:eastAsia="黑体" w:hAnsi="Times New Roman"/>
          <w:sz w:val="32"/>
          <w:szCs w:val="32"/>
        </w:rPr>
      </w:pPr>
    </w:p>
    <w:p w:rsidR="001B28D8" w:rsidRDefault="001B28D8" w:rsidP="001B28D8">
      <w:pPr>
        <w:snapToGrid w:val="0"/>
        <w:jc w:val="center"/>
        <w:rPr>
          <w:rFonts w:ascii="Times New Roman" w:eastAsia="方正小标宋_GBK" w:hAnsi="Times New Roman"/>
          <w:sz w:val="44"/>
          <w:szCs w:val="44"/>
        </w:rPr>
      </w:pPr>
      <w:r>
        <w:rPr>
          <w:rFonts w:ascii="Times New Roman" w:eastAsia="方正小标宋_GBK" w:hAnsi="Times New Roman"/>
          <w:sz w:val="44"/>
          <w:szCs w:val="44"/>
        </w:rPr>
        <w:t>江苏省高校研究生教育工作综合评价指标体系（</w:t>
      </w:r>
      <w:r>
        <w:rPr>
          <w:rFonts w:ascii="Times New Roman" w:eastAsia="方正小标宋_GBK" w:hAnsi="Times New Roman"/>
          <w:sz w:val="44"/>
          <w:szCs w:val="44"/>
        </w:rPr>
        <w:t>2021-2025</w:t>
      </w:r>
      <w:r>
        <w:rPr>
          <w:rFonts w:ascii="Times New Roman" w:eastAsia="方正小标宋_GBK" w:hAnsi="Times New Roman"/>
          <w:sz w:val="44"/>
          <w:szCs w:val="4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5"/>
        <w:gridCol w:w="4621"/>
        <w:gridCol w:w="6324"/>
        <w:gridCol w:w="1364"/>
      </w:tblGrid>
      <w:tr w:rsidR="001B28D8" w:rsidTr="00C54338">
        <w:trPr>
          <w:trHeight w:val="549"/>
          <w:tblHeader/>
        </w:trPr>
        <w:tc>
          <w:tcPr>
            <w:tcW w:w="658" w:type="pct"/>
            <w:vAlign w:val="center"/>
          </w:tcPr>
          <w:p w:rsidR="001B28D8" w:rsidRDefault="001B28D8" w:rsidP="00C54338">
            <w:pPr>
              <w:snapToGrid w:val="0"/>
              <w:spacing w:beforeLines="100" w:before="240" w:afterLines="100" w:after="240"/>
              <w:jc w:val="center"/>
              <w:rPr>
                <w:rFonts w:ascii="Times New Roman" w:eastAsia="黑体" w:hAnsi="Times New Roman"/>
                <w:sz w:val="36"/>
                <w:szCs w:val="36"/>
              </w:rPr>
            </w:pPr>
            <w:r>
              <w:rPr>
                <w:rFonts w:ascii="Times New Roman" w:eastAsia="黑体" w:hAnsi="Times New Roman"/>
                <w:sz w:val="36"/>
                <w:szCs w:val="36"/>
              </w:rPr>
              <w:t>一级指标</w:t>
            </w:r>
          </w:p>
        </w:tc>
        <w:tc>
          <w:tcPr>
            <w:tcW w:w="1629" w:type="pct"/>
            <w:vAlign w:val="center"/>
          </w:tcPr>
          <w:p w:rsidR="001B28D8" w:rsidRDefault="001B28D8" w:rsidP="00C54338">
            <w:pPr>
              <w:snapToGrid w:val="0"/>
              <w:spacing w:beforeLines="100" w:before="240" w:afterLines="100" w:after="240"/>
              <w:jc w:val="center"/>
              <w:rPr>
                <w:rFonts w:ascii="Times New Roman" w:eastAsia="黑体" w:hAnsi="Times New Roman"/>
                <w:sz w:val="36"/>
                <w:szCs w:val="36"/>
              </w:rPr>
            </w:pPr>
            <w:r>
              <w:rPr>
                <w:rFonts w:ascii="Times New Roman" w:eastAsia="黑体" w:hAnsi="Times New Roman"/>
                <w:sz w:val="36"/>
                <w:szCs w:val="36"/>
              </w:rPr>
              <w:t>二级指标</w:t>
            </w:r>
          </w:p>
        </w:tc>
        <w:tc>
          <w:tcPr>
            <w:tcW w:w="2230" w:type="pct"/>
            <w:vAlign w:val="center"/>
          </w:tcPr>
          <w:p w:rsidR="001B28D8" w:rsidRDefault="001B28D8" w:rsidP="00C54338">
            <w:pPr>
              <w:snapToGrid w:val="0"/>
              <w:spacing w:beforeLines="100" w:before="240" w:afterLines="100" w:after="240"/>
              <w:jc w:val="center"/>
              <w:rPr>
                <w:rFonts w:ascii="Times New Roman" w:eastAsia="黑体" w:hAnsi="Times New Roman"/>
                <w:sz w:val="36"/>
                <w:szCs w:val="36"/>
              </w:rPr>
            </w:pPr>
            <w:r>
              <w:rPr>
                <w:rFonts w:ascii="Times New Roman" w:eastAsia="黑体" w:hAnsi="Times New Roman"/>
                <w:sz w:val="36"/>
                <w:szCs w:val="36"/>
              </w:rPr>
              <w:t>评价内容</w:t>
            </w:r>
          </w:p>
        </w:tc>
        <w:tc>
          <w:tcPr>
            <w:tcW w:w="481" w:type="pct"/>
            <w:vAlign w:val="center"/>
          </w:tcPr>
          <w:p w:rsidR="001B28D8" w:rsidRDefault="001B28D8" w:rsidP="00C54338">
            <w:pPr>
              <w:snapToGrid w:val="0"/>
              <w:spacing w:beforeLines="100" w:before="240" w:afterLines="100" w:after="240"/>
              <w:jc w:val="center"/>
              <w:rPr>
                <w:rFonts w:ascii="Times New Roman" w:eastAsia="黑体" w:hAnsi="Times New Roman"/>
                <w:sz w:val="36"/>
                <w:szCs w:val="36"/>
              </w:rPr>
            </w:pPr>
            <w:r>
              <w:rPr>
                <w:rFonts w:ascii="Times New Roman" w:eastAsia="黑体" w:hAnsi="Times New Roman"/>
                <w:sz w:val="36"/>
                <w:szCs w:val="36"/>
              </w:rPr>
              <w:t>分值</w:t>
            </w:r>
          </w:p>
        </w:tc>
      </w:tr>
      <w:tr w:rsidR="001B28D8" w:rsidTr="00C54338">
        <w:trPr>
          <w:trHeight w:val="717"/>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思想政治教育</w:t>
            </w:r>
          </w:p>
          <w:p w:rsidR="001B28D8" w:rsidRDefault="001B28D8" w:rsidP="00C54338">
            <w:pPr>
              <w:snapToGrid w:val="0"/>
              <w:jc w:val="center"/>
              <w:rPr>
                <w:rFonts w:ascii="Times New Roman"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15</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bCs/>
                <w:sz w:val="24"/>
              </w:rPr>
            </w:pPr>
            <w:proofErr w:type="gramStart"/>
            <w:r>
              <w:rPr>
                <w:rFonts w:ascii="Times New Roman" w:eastAsia="仿宋_GB2312" w:hAnsi="Times New Roman"/>
                <w:bCs/>
                <w:sz w:val="24"/>
              </w:rPr>
              <w:t>研究生思政课程</w:t>
            </w:r>
            <w:proofErr w:type="gramEnd"/>
            <w:r>
              <w:rPr>
                <w:rFonts w:ascii="Times New Roman" w:eastAsia="仿宋_GB2312" w:hAnsi="Times New Roman"/>
                <w:bCs/>
                <w:sz w:val="24"/>
              </w:rPr>
              <w:t>建设</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按要求开好研究生思想政治理论必修课和选修课；</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按规定选用教材；</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开发示范案例和网络教学资源情况；</w:t>
            </w:r>
          </w:p>
        </w:tc>
        <w:tc>
          <w:tcPr>
            <w:tcW w:w="481" w:type="pct"/>
            <w:vAlign w:val="center"/>
          </w:tcPr>
          <w:p w:rsidR="001B28D8" w:rsidRDefault="001B28D8" w:rsidP="00C54338">
            <w:pPr>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685"/>
        </w:trPr>
        <w:tc>
          <w:tcPr>
            <w:tcW w:w="658" w:type="pct"/>
            <w:vMerge/>
            <w:vAlign w:val="center"/>
          </w:tcPr>
          <w:p w:rsidR="001B28D8" w:rsidRDefault="001B28D8" w:rsidP="00C54338">
            <w:pPr>
              <w:snapToGrid w:val="0"/>
              <w:jc w:val="left"/>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研究生</w:t>
            </w:r>
            <w:proofErr w:type="gramStart"/>
            <w:r>
              <w:rPr>
                <w:rFonts w:ascii="Times New Roman" w:eastAsia="仿宋_GB2312" w:hAnsi="Times New Roman"/>
                <w:bCs/>
                <w:sz w:val="24"/>
              </w:rPr>
              <w:t>课程思政建设</w:t>
            </w:r>
            <w:proofErr w:type="gramEnd"/>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研究生</w:t>
            </w:r>
            <w:proofErr w:type="gramStart"/>
            <w:r>
              <w:rPr>
                <w:rFonts w:ascii="Times New Roman" w:eastAsia="仿宋_GB2312" w:hAnsi="Times New Roman"/>
                <w:sz w:val="24"/>
              </w:rPr>
              <w:t>课程思政建设</w:t>
            </w:r>
            <w:proofErr w:type="gramEnd"/>
            <w:r>
              <w:rPr>
                <w:rFonts w:ascii="Times New Roman" w:eastAsia="仿宋_GB2312" w:hAnsi="Times New Roman"/>
                <w:sz w:val="24"/>
              </w:rPr>
              <w:t>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入选省级及以上研究生</w:t>
            </w:r>
            <w:proofErr w:type="gramStart"/>
            <w:r>
              <w:rPr>
                <w:rFonts w:ascii="Times New Roman" w:eastAsia="仿宋_GB2312" w:hAnsi="Times New Roman"/>
                <w:sz w:val="24"/>
              </w:rPr>
              <w:t>课程思政示范</w:t>
            </w:r>
            <w:proofErr w:type="gramEnd"/>
            <w:r>
              <w:rPr>
                <w:rFonts w:ascii="Times New Roman" w:eastAsia="仿宋_GB2312" w:hAnsi="Times New Roman"/>
                <w:sz w:val="24"/>
              </w:rPr>
              <w:t>课程、研究生课程</w:t>
            </w:r>
            <w:proofErr w:type="gramStart"/>
            <w:r>
              <w:rPr>
                <w:rFonts w:ascii="Times New Roman" w:eastAsia="仿宋_GB2312" w:hAnsi="Times New Roman"/>
                <w:sz w:val="24"/>
              </w:rPr>
              <w:t>思政教学</w:t>
            </w:r>
            <w:proofErr w:type="gramEnd"/>
            <w:r>
              <w:rPr>
                <w:rFonts w:ascii="Times New Roman" w:eastAsia="仿宋_GB2312" w:hAnsi="Times New Roman"/>
                <w:sz w:val="24"/>
              </w:rPr>
              <w:t>名师和团队的数量，入选省级及以上课程</w:t>
            </w:r>
            <w:proofErr w:type="gramStart"/>
            <w:r>
              <w:rPr>
                <w:rFonts w:ascii="Times New Roman" w:eastAsia="仿宋_GB2312" w:hAnsi="Times New Roman"/>
                <w:sz w:val="24"/>
              </w:rPr>
              <w:t>思政教学</w:t>
            </w:r>
            <w:proofErr w:type="gramEnd"/>
            <w:r>
              <w:rPr>
                <w:rFonts w:ascii="Times New Roman" w:eastAsia="仿宋_GB2312" w:hAnsi="Times New Roman"/>
                <w:sz w:val="24"/>
              </w:rPr>
              <w:t>研究示范中心的数量；</w:t>
            </w:r>
          </w:p>
        </w:tc>
        <w:tc>
          <w:tcPr>
            <w:tcW w:w="481" w:type="pct"/>
            <w:vAlign w:val="center"/>
          </w:tcPr>
          <w:p w:rsidR="001B28D8" w:rsidRDefault="001B28D8" w:rsidP="00C54338">
            <w:pPr>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685"/>
        </w:trPr>
        <w:tc>
          <w:tcPr>
            <w:tcW w:w="658" w:type="pct"/>
            <w:vMerge/>
            <w:vAlign w:val="center"/>
          </w:tcPr>
          <w:p w:rsidR="001B28D8" w:rsidRDefault="001B28D8" w:rsidP="00C54338">
            <w:pPr>
              <w:snapToGrid w:val="0"/>
              <w:jc w:val="left"/>
              <w:rPr>
                <w:rFonts w:ascii="Times New Roman" w:eastAsia="华文仿宋" w:hAnsi="Times New Roman"/>
                <w:b/>
                <w:sz w:val="28"/>
                <w:szCs w:val="28"/>
              </w:rPr>
            </w:pPr>
          </w:p>
        </w:tc>
        <w:tc>
          <w:tcPr>
            <w:tcW w:w="1629" w:type="pct"/>
            <w:vAlign w:val="center"/>
          </w:tcPr>
          <w:p w:rsidR="001B28D8" w:rsidRDefault="001B28D8" w:rsidP="00C54338">
            <w:pPr>
              <w:adjustRightInd w:val="0"/>
              <w:snapToGrid w:val="0"/>
              <w:jc w:val="center"/>
              <w:rPr>
                <w:rFonts w:ascii="Times New Roman" w:eastAsia="仿宋_GB2312" w:hAnsi="Times New Roman"/>
                <w:bCs/>
                <w:sz w:val="24"/>
              </w:rPr>
            </w:pPr>
            <w:r>
              <w:rPr>
                <w:rFonts w:ascii="Times New Roman" w:eastAsia="仿宋_GB2312" w:hAnsi="Times New Roman"/>
                <w:bCs/>
                <w:sz w:val="24"/>
              </w:rPr>
              <w:t>研究生实践育人</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开展</w:t>
            </w:r>
            <w:r>
              <w:rPr>
                <w:rFonts w:ascii="Times New Roman" w:eastAsia="仿宋_GB2312" w:hAnsi="Times New Roman"/>
                <w:sz w:val="24"/>
              </w:rPr>
              <w:t>“</w:t>
            </w:r>
            <w:r>
              <w:rPr>
                <w:rFonts w:ascii="Times New Roman" w:eastAsia="仿宋_GB2312" w:hAnsi="Times New Roman"/>
                <w:sz w:val="24"/>
              </w:rPr>
              <w:t>硕博生进基层</w:t>
            </w:r>
            <w:r>
              <w:rPr>
                <w:rFonts w:ascii="Times New Roman" w:eastAsia="仿宋_GB2312" w:hAnsi="Times New Roman"/>
                <w:sz w:val="24"/>
              </w:rPr>
              <w:t>”</w:t>
            </w:r>
            <w:r>
              <w:rPr>
                <w:rFonts w:ascii="Times New Roman" w:eastAsia="仿宋_GB2312" w:hAnsi="Times New Roman"/>
                <w:sz w:val="24"/>
              </w:rPr>
              <w:t>等主题社会实践活动情况；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研究生社团发挥思想政治教育作用情况；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研究生社会实践个人或团队获得省级及以上奖励情况；</w:t>
            </w:r>
          </w:p>
        </w:tc>
        <w:tc>
          <w:tcPr>
            <w:tcW w:w="481" w:type="pct"/>
            <w:vAlign w:val="center"/>
          </w:tcPr>
          <w:p w:rsidR="001B28D8" w:rsidRDefault="001B28D8" w:rsidP="00C54338">
            <w:pPr>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709"/>
        </w:trPr>
        <w:tc>
          <w:tcPr>
            <w:tcW w:w="658" w:type="pct"/>
            <w:vMerge/>
            <w:tcBorders>
              <w:bottom w:val="single" w:sz="4" w:space="0" w:color="auto"/>
            </w:tcBorders>
            <w:vAlign w:val="center"/>
          </w:tcPr>
          <w:p w:rsidR="001B28D8" w:rsidRDefault="001B28D8" w:rsidP="00C54338">
            <w:pPr>
              <w:snapToGrid w:val="0"/>
              <w:jc w:val="left"/>
              <w:rPr>
                <w:rFonts w:ascii="Times New Roman" w:eastAsia="华文仿宋" w:hAnsi="Times New Roman"/>
                <w:b/>
                <w:sz w:val="28"/>
                <w:szCs w:val="28"/>
              </w:rPr>
            </w:pPr>
          </w:p>
        </w:tc>
        <w:tc>
          <w:tcPr>
            <w:tcW w:w="1629" w:type="pct"/>
            <w:tcBorders>
              <w:bottom w:val="single" w:sz="4" w:space="0" w:color="auto"/>
            </w:tcBorders>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组织领导</w:t>
            </w:r>
          </w:p>
        </w:tc>
        <w:tc>
          <w:tcPr>
            <w:tcW w:w="2230" w:type="pct"/>
            <w:tcBorders>
              <w:bottom w:val="single" w:sz="4" w:space="0" w:color="auto"/>
            </w:tcBorders>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落实立德树人的组织领导措施，如研究生思政工作体系及组织建设，研究生心理健康教育和咨询服务体系及组织建设，科研团队、课题组研究生党组织建设等情况；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专任</w:t>
            </w:r>
            <w:proofErr w:type="gramStart"/>
            <w:r>
              <w:rPr>
                <w:rFonts w:ascii="Times New Roman" w:eastAsia="仿宋_GB2312" w:hAnsi="Times New Roman"/>
                <w:sz w:val="24"/>
              </w:rPr>
              <w:t>思政课</w:t>
            </w:r>
            <w:proofErr w:type="gramEnd"/>
            <w:r>
              <w:rPr>
                <w:rFonts w:ascii="Times New Roman" w:eastAsia="仿宋_GB2312" w:hAnsi="Times New Roman"/>
                <w:sz w:val="24"/>
              </w:rPr>
              <w:t>教师师生比，专职辅导员师生比情况</w:t>
            </w:r>
            <w:r>
              <w:rPr>
                <w:rFonts w:ascii="Times New Roman" w:eastAsia="仿宋_GB2312" w:hAnsi="Times New Roman"/>
                <w:sz w:val="24"/>
                <w:vertAlign w:val="superscript"/>
              </w:rPr>
              <w:t>1</w:t>
            </w:r>
            <w:r>
              <w:rPr>
                <w:rFonts w:ascii="Times New Roman" w:eastAsia="仿宋_GB2312" w:hAnsi="Times New Roman"/>
                <w:sz w:val="24"/>
              </w:rPr>
              <w:t>；</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获得省级以上研究生党支部和党团荣誉表彰情况；</w:t>
            </w:r>
          </w:p>
        </w:tc>
        <w:tc>
          <w:tcPr>
            <w:tcW w:w="481" w:type="pct"/>
            <w:tcBorders>
              <w:bottom w:val="single" w:sz="4" w:space="0" w:color="auto"/>
            </w:tcBorders>
            <w:vAlign w:val="center"/>
          </w:tcPr>
          <w:p w:rsidR="001B28D8" w:rsidRDefault="001B28D8" w:rsidP="00C54338">
            <w:pPr>
              <w:pStyle w:val="a5"/>
              <w:snapToGrid w:val="0"/>
              <w:spacing w:line="288" w:lineRule="auto"/>
              <w:ind w:firstLineChars="0" w:firstLine="0"/>
              <w:jc w:val="center"/>
              <w:rPr>
                <w:rFonts w:ascii="Times New Roman" w:eastAsia="仿宋_GB2312" w:hAnsi="Times New Roman"/>
                <w:sz w:val="24"/>
              </w:rPr>
            </w:pPr>
            <w:r>
              <w:rPr>
                <w:rFonts w:ascii="Times New Roman" w:eastAsia="仿宋_GB2312" w:hAnsi="Times New Roman"/>
                <w:sz w:val="24"/>
                <w:szCs w:val="24"/>
              </w:rPr>
              <w:t>3</w:t>
            </w:r>
            <w:r>
              <w:rPr>
                <w:rFonts w:ascii="Times New Roman" w:eastAsia="仿宋_GB2312" w:hAnsi="Times New Roman"/>
                <w:sz w:val="24"/>
                <w:szCs w:val="24"/>
              </w:rPr>
              <w:t>分</w:t>
            </w:r>
          </w:p>
        </w:tc>
      </w:tr>
      <w:tr w:rsidR="001B28D8" w:rsidTr="00C54338">
        <w:trPr>
          <w:trHeight w:val="1564"/>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lastRenderedPageBreak/>
              <w:t>科学道德与</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学术规范教育</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12</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t>宣讲教育开展情况</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组织开展及参加科学精神、学术诚信、学术（职业）规范和伦理道德宣讲教育活动等情况；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建立引导研究生坚守学术诚信的工作机制和措施，如组织研究生入学时签署学术诚信承诺书等情况；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697"/>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t>编写读本教材</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将科学精神、学术诚信、学术（职业）规范和伦理道德等作为必修内容纳入培养方案情况；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编写学术行为规范、科学道德案例、论文写作指导教材等情况；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707"/>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t>落实导师第一责任人职责</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建立导师将学术规范训练和指导贯穿研究生培养全过程的规章制度情况；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将研究生学术不端行为与导师资格、招生资格挂钩的情况；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有无师德师风问题，有无研究生发生严重学术不端等问题；</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65"/>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优质教学资源建设</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12</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优秀课程建设</w:t>
            </w:r>
          </w:p>
        </w:tc>
        <w:tc>
          <w:tcPr>
            <w:tcW w:w="2230" w:type="pct"/>
            <w:vAlign w:val="center"/>
          </w:tcPr>
          <w:p w:rsidR="001B28D8" w:rsidRDefault="001B28D8" w:rsidP="00C54338">
            <w:pPr>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研究生优秀课程建设情况；</w:t>
            </w:r>
            <w:r>
              <w:rPr>
                <w:rFonts w:ascii="Times New Roman" w:eastAsia="仿宋_GB2312" w:hAnsi="Times New Roman"/>
                <w:sz w:val="24"/>
              </w:rPr>
              <w:t xml:space="preserve"> </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入选省级及以上研究生优秀课程情况；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jc w:val="center"/>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优秀教材建设</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立足学科前沿、人才培养，建设高质量研究生教材情况；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入选省级及以上研究生优秀教材情况；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jc w:val="center"/>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优秀教学案例建设</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注重理论与实践相合，建设教学案例、案例库及案例共享情况；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lastRenderedPageBreak/>
              <w:t xml:space="preserve">2. </w:t>
            </w:r>
            <w:r>
              <w:rPr>
                <w:rFonts w:ascii="Times New Roman" w:eastAsia="仿宋_GB2312" w:hAnsi="Times New Roman"/>
                <w:sz w:val="24"/>
              </w:rPr>
              <w:t>入选省级及以上研究生优秀教学案例情况；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lastRenderedPageBreak/>
              <w:t>4</w:t>
            </w:r>
            <w:r>
              <w:rPr>
                <w:rFonts w:ascii="Times New Roman" w:eastAsia="仿宋_GB2312" w:hAnsi="Times New Roman"/>
                <w:sz w:val="24"/>
              </w:rPr>
              <w:t>分</w:t>
            </w:r>
          </w:p>
        </w:tc>
      </w:tr>
      <w:tr w:rsidR="001B28D8" w:rsidTr="00C54338">
        <w:trPr>
          <w:trHeight w:val="1341"/>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lastRenderedPageBreak/>
              <w:t>科教产教</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融合育人</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12</w:t>
            </w:r>
            <w:r>
              <w:rPr>
                <w:rFonts w:ascii="Times New Roman" w:eastAsia="华文仿宋" w:hAnsi="Times New Roman"/>
                <w:b/>
                <w:sz w:val="26"/>
                <w:szCs w:val="26"/>
              </w:rPr>
              <w:t>分）</w:t>
            </w:r>
          </w:p>
        </w:tc>
        <w:tc>
          <w:tcPr>
            <w:tcW w:w="1629" w:type="pct"/>
            <w:tcBorders>
              <w:bottom w:val="single" w:sz="4" w:space="0" w:color="auto"/>
            </w:tcBorders>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产业教授</w:t>
            </w:r>
          </w:p>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（研究生导师类）</w:t>
            </w:r>
          </w:p>
        </w:tc>
        <w:tc>
          <w:tcPr>
            <w:tcW w:w="2230" w:type="pct"/>
            <w:tcBorders>
              <w:bottom w:val="single" w:sz="4" w:space="0" w:color="auto"/>
            </w:tcBorders>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产业教授聘用、管理及考核情况；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产业教授参与学科平台建设、研究生教育教学改革及培养过程等情况；</w:t>
            </w:r>
          </w:p>
        </w:tc>
        <w:tc>
          <w:tcPr>
            <w:tcW w:w="481" w:type="pct"/>
            <w:tcBorders>
              <w:bottom w:val="single" w:sz="4" w:space="0" w:color="auto"/>
            </w:tcBorders>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36"/>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tcBorders>
              <w:bottom w:val="single" w:sz="4" w:space="0" w:color="auto"/>
            </w:tcBorders>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研究生联合培养基地</w:t>
            </w:r>
          </w:p>
        </w:tc>
        <w:tc>
          <w:tcPr>
            <w:tcW w:w="2230" w:type="pct"/>
            <w:tcBorders>
              <w:bottom w:val="single" w:sz="4" w:space="0" w:color="auto"/>
            </w:tcBorders>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研究生联合培养基地管理制度建设情况；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校级及专业</w:t>
            </w:r>
            <w:proofErr w:type="gramStart"/>
            <w:r>
              <w:rPr>
                <w:rFonts w:ascii="Times New Roman" w:eastAsia="仿宋_GB2312" w:hAnsi="Times New Roman"/>
                <w:sz w:val="24"/>
              </w:rPr>
              <w:t>学位教指委</w:t>
            </w:r>
            <w:proofErr w:type="gramEnd"/>
            <w:r>
              <w:rPr>
                <w:rFonts w:ascii="Times New Roman" w:eastAsia="仿宋_GB2312" w:hAnsi="Times New Roman"/>
                <w:sz w:val="24"/>
              </w:rPr>
              <w:t>研究生联合培养基地（含研究生工作站）数量及运行情况；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省级研究生工作站数量及考核情况；</w:t>
            </w:r>
          </w:p>
        </w:tc>
        <w:tc>
          <w:tcPr>
            <w:tcW w:w="481" w:type="pct"/>
            <w:tcBorders>
              <w:bottom w:val="single" w:sz="4" w:space="0" w:color="auto"/>
            </w:tcBorders>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35"/>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tcBorders>
              <w:bottom w:val="single" w:sz="4" w:space="0" w:color="auto"/>
            </w:tcBorders>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大院名企联合培养</w:t>
            </w:r>
          </w:p>
        </w:tc>
        <w:tc>
          <w:tcPr>
            <w:tcW w:w="2230" w:type="pct"/>
            <w:tcBorders>
              <w:bottom w:val="single" w:sz="4" w:space="0" w:color="auto"/>
            </w:tcBorders>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探索跨学科、跨机构协同培养，校企联合培养新机制、新模式，推动研究生科教产教融合育人情况；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与江苏省产业技术研究院联合培养</w:t>
            </w:r>
            <w:r>
              <w:rPr>
                <w:rFonts w:ascii="Times New Roman" w:eastAsia="仿宋_GB2312" w:hAnsi="Times New Roman"/>
                <w:sz w:val="24"/>
              </w:rPr>
              <w:t>“</w:t>
            </w:r>
            <w:r>
              <w:rPr>
                <w:rFonts w:ascii="Times New Roman" w:eastAsia="仿宋_GB2312" w:hAnsi="Times New Roman"/>
                <w:sz w:val="24"/>
              </w:rPr>
              <w:t>集萃研究生</w:t>
            </w:r>
            <w:r>
              <w:rPr>
                <w:rFonts w:ascii="Times New Roman" w:eastAsia="仿宋_GB2312" w:hAnsi="Times New Roman"/>
                <w:sz w:val="24"/>
              </w:rPr>
              <w:t>”</w:t>
            </w:r>
            <w:r>
              <w:rPr>
                <w:rFonts w:ascii="Times New Roman" w:eastAsia="仿宋_GB2312" w:hAnsi="Times New Roman"/>
                <w:sz w:val="24"/>
              </w:rPr>
              <w:t>，与中国科学院联合培养</w:t>
            </w:r>
            <w:r>
              <w:rPr>
                <w:rFonts w:ascii="Times New Roman" w:eastAsia="仿宋_GB2312" w:hAnsi="Times New Roman"/>
                <w:sz w:val="24"/>
              </w:rPr>
              <w:t>“</w:t>
            </w:r>
            <w:r>
              <w:rPr>
                <w:rFonts w:ascii="Times New Roman" w:eastAsia="仿宋_GB2312" w:hAnsi="Times New Roman"/>
                <w:sz w:val="24"/>
              </w:rPr>
              <w:t>卓越研究生</w:t>
            </w:r>
            <w:r>
              <w:rPr>
                <w:rFonts w:ascii="Times New Roman" w:eastAsia="仿宋_GB2312" w:hAnsi="Times New Roman"/>
                <w:sz w:val="24"/>
              </w:rPr>
              <w:t>”</w:t>
            </w:r>
            <w:r>
              <w:rPr>
                <w:rFonts w:ascii="Times New Roman" w:eastAsia="仿宋_GB2312" w:hAnsi="Times New Roman"/>
                <w:sz w:val="24"/>
              </w:rPr>
              <w:t>，与华为技术有限公司实施</w:t>
            </w:r>
            <w:r>
              <w:rPr>
                <w:rFonts w:ascii="Times New Roman" w:eastAsia="仿宋_GB2312" w:hAnsi="Times New Roman"/>
                <w:sz w:val="24"/>
              </w:rPr>
              <w:t>“</w:t>
            </w:r>
            <w:r>
              <w:rPr>
                <w:rFonts w:ascii="Times New Roman" w:eastAsia="仿宋_GB2312" w:hAnsi="Times New Roman"/>
                <w:sz w:val="24"/>
              </w:rPr>
              <w:t>创智计划</w:t>
            </w:r>
            <w:r>
              <w:rPr>
                <w:rFonts w:ascii="Times New Roman" w:eastAsia="仿宋_GB2312" w:hAnsi="Times New Roman"/>
                <w:sz w:val="24"/>
              </w:rPr>
              <w:t>”</w:t>
            </w:r>
            <w:r>
              <w:rPr>
                <w:rFonts w:ascii="Times New Roman" w:eastAsia="仿宋_GB2312" w:hAnsi="Times New Roman"/>
                <w:sz w:val="24"/>
              </w:rPr>
              <w:t>及其它高水平联合培养研究生项目情况；</w:t>
            </w:r>
          </w:p>
        </w:tc>
        <w:tc>
          <w:tcPr>
            <w:tcW w:w="481" w:type="pct"/>
            <w:tcBorders>
              <w:bottom w:val="single" w:sz="4" w:space="0" w:color="auto"/>
            </w:tcBorders>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65"/>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导师队伍建设</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12</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典型示范引领</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导师荣誉制度建设及实施情况；</w:t>
            </w:r>
          </w:p>
          <w:p w:rsidR="001B28D8" w:rsidRDefault="001B28D8" w:rsidP="00C54338">
            <w:pPr>
              <w:snapToGrid w:val="0"/>
              <w:ind w:left="360" w:hangingChars="150" w:hanging="36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优秀导师及导师团队典型事迹挖掘与宣传、经验推广情况；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入选省级及以上优秀导师及导师团队情况；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snapToGrid w:val="0"/>
              <w:jc w:val="center"/>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培训与团队建设</w:t>
            </w:r>
            <w:r>
              <w:rPr>
                <w:rFonts w:ascii="Times New Roman" w:eastAsia="仿宋_GB2312" w:hAnsi="Times New Roman"/>
                <w:bCs/>
                <w:sz w:val="24"/>
              </w:rPr>
              <w:t>*</w:t>
            </w:r>
            <w:r>
              <w:rPr>
                <w:rFonts w:ascii="Times New Roman" w:eastAsia="仿宋_GB2312" w:hAnsi="Times New Roman"/>
                <w:bCs/>
                <w:sz w:val="24"/>
                <w:vertAlign w:val="superscript"/>
              </w:rPr>
              <w:t>2</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导师培训体系建设与培训开展情况；</w:t>
            </w:r>
          </w:p>
          <w:p w:rsidR="001B28D8" w:rsidRDefault="001B28D8" w:rsidP="00C54338">
            <w:pPr>
              <w:snapToGrid w:val="0"/>
              <w:ind w:left="360" w:hangingChars="150" w:hanging="36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导师团队制度建设、跨学科跨单位建设导师团队、与境外或企业建设</w:t>
            </w:r>
            <w:r>
              <w:rPr>
                <w:rFonts w:ascii="Times New Roman" w:eastAsia="仿宋_GB2312" w:hAnsi="Times New Roman"/>
                <w:sz w:val="24"/>
              </w:rPr>
              <w:t>“</w:t>
            </w:r>
            <w:r>
              <w:rPr>
                <w:rFonts w:ascii="Times New Roman" w:eastAsia="仿宋_GB2312" w:hAnsi="Times New Roman"/>
                <w:sz w:val="24"/>
              </w:rPr>
              <w:t>双导师</w:t>
            </w:r>
            <w:r>
              <w:rPr>
                <w:rFonts w:ascii="Times New Roman" w:eastAsia="仿宋_GB2312" w:hAnsi="Times New Roman"/>
                <w:sz w:val="24"/>
              </w:rPr>
              <w:t>”</w:t>
            </w:r>
            <w:r>
              <w:rPr>
                <w:rFonts w:ascii="Times New Roman" w:eastAsia="仿宋_GB2312" w:hAnsi="Times New Roman"/>
                <w:sz w:val="24"/>
              </w:rPr>
              <w:t>等情况；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lastRenderedPageBreak/>
              <w:t xml:space="preserve">3. </w:t>
            </w:r>
            <w:r>
              <w:rPr>
                <w:rFonts w:ascii="Times New Roman" w:eastAsia="仿宋_GB2312" w:hAnsi="Times New Roman"/>
                <w:sz w:val="24"/>
              </w:rPr>
              <w:t>用于导师培训的经费情况；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lastRenderedPageBreak/>
              <w:t>4</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snapToGrid w:val="0"/>
              <w:jc w:val="center"/>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bCs/>
                <w:sz w:val="24"/>
              </w:rPr>
              <w:t>岗位管理与督察评价</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导师选聘、岗位职责等制度建设情况；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导师综合考评、激励与退出机制建设情况；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省级研究生导师指导质量抽检情况；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1266"/>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研究生学术与实践创新能力培养</w:t>
            </w:r>
            <w:r>
              <w:rPr>
                <w:rFonts w:ascii="Times New Roman" w:eastAsia="华文仿宋" w:hAnsi="Times New Roman"/>
                <w:sz w:val="26"/>
                <w:szCs w:val="26"/>
                <w:vertAlign w:val="superscript"/>
              </w:rPr>
              <w:t>3</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15</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科研与实践创新研究</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推动研究生科研和实践创新研究情况，包括省级科研与实践创新计划立项数量和资助经费情况；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研究生科研和实践创新的成果；</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1126"/>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举办科研创新实践大赛</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承办省级及以上研究生科研创新实践大赛情况；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研究生参与科研创新实践大赛情况；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研究生在省级及以上科研创新实践大赛中获奖情况；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1127"/>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举办暑期学校</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研究生暑期学校举办情况；</w:t>
            </w:r>
            <w:r>
              <w:rPr>
                <w:rFonts w:ascii="Times New Roman" w:eastAsia="仿宋_GB2312" w:hAnsi="Times New Roman"/>
                <w:sz w:val="24"/>
              </w:rPr>
              <w:t xml:space="preserve"> </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承办省级研究生暑期学校情况及成效；</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3</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建立学术创新平台</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研究生学术创新平台建设情况及成效；</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承办省级及以上研究生学术创新论坛情况；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r w:rsidR="001B28D8" w:rsidTr="00C54338">
        <w:trPr>
          <w:trHeight w:val="1951"/>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lastRenderedPageBreak/>
              <w:t>国际合作与</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学术交流</w:t>
            </w:r>
            <w:r>
              <w:rPr>
                <w:rFonts w:ascii="Times New Roman" w:eastAsia="华文仿宋" w:hAnsi="Times New Roman"/>
                <w:sz w:val="26"/>
                <w:szCs w:val="26"/>
                <w:vertAlign w:val="superscript"/>
              </w:rPr>
              <w:t>4</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5</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国际联合培养</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与国际高水平大学建立研究生双向交流机制情况，如中外合作办学、</w:t>
            </w:r>
            <w:proofErr w:type="gramStart"/>
            <w:r>
              <w:rPr>
                <w:rFonts w:ascii="Times New Roman" w:eastAsia="仿宋_GB2312" w:hAnsi="Times New Roman"/>
                <w:sz w:val="24"/>
              </w:rPr>
              <w:t>互授联授</w:t>
            </w:r>
            <w:proofErr w:type="gramEnd"/>
            <w:r>
              <w:rPr>
                <w:rFonts w:ascii="Times New Roman" w:eastAsia="仿宋_GB2312" w:hAnsi="Times New Roman"/>
                <w:sz w:val="24"/>
              </w:rPr>
              <w:t>学位；在海外建立研究生国际联合培养基地情况；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开展国际联合培养的研究生数量及项目情况；</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3. </w:t>
            </w:r>
            <w:r>
              <w:rPr>
                <w:rFonts w:ascii="Times New Roman" w:eastAsia="仿宋_GB2312" w:hAnsi="Times New Roman"/>
                <w:sz w:val="24"/>
              </w:rPr>
              <w:t>聘请国际专家担任联合培养导师情况；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2</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snapToGrid w:val="0"/>
              <w:jc w:val="left"/>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国际学术交流</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资助研究生参加国际学术交流等情况；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3</w:t>
            </w:r>
            <w:r>
              <w:rPr>
                <w:rFonts w:ascii="Times New Roman" w:eastAsia="仿宋_GB2312" w:hAnsi="Times New Roman"/>
                <w:sz w:val="24"/>
              </w:rPr>
              <w:t>分</w:t>
            </w:r>
          </w:p>
        </w:tc>
      </w:tr>
      <w:tr w:rsidR="001B28D8" w:rsidTr="00C54338">
        <w:trPr>
          <w:trHeight w:val="713"/>
        </w:trPr>
        <w:tc>
          <w:tcPr>
            <w:tcW w:w="658" w:type="pct"/>
            <w:vMerge w:val="restart"/>
            <w:vAlign w:val="center"/>
          </w:tcPr>
          <w:p w:rsidR="001B28D8" w:rsidRDefault="001B28D8" w:rsidP="00C54338">
            <w:pPr>
              <w:pStyle w:val="a5"/>
              <w:ind w:leftChars="-50" w:left="-105" w:rightChars="-50" w:right="-105" w:firstLineChars="0" w:firstLine="0"/>
              <w:jc w:val="center"/>
              <w:rPr>
                <w:rFonts w:ascii="Times New Roman" w:eastAsia="华文仿宋" w:hAnsi="Times New Roman"/>
                <w:b/>
                <w:sz w:val="26"/>
                <w:szCs w:val="26"/>
              </w:rPr>
            </w:pPr>
            <w:r>
              <w:rPr>
                <w:rFonts w:ascii="Times New Roman" w:eastAsia="华文仿宋" w:hAnsi="Times New Roman"/>
                <w:b/>
                <w:sz w:val="26"/>
                <w:szCs w:val="26"/>
              </w:rPr>
              <w:t>急需紧缺高层次</w:t>
            </w:r>
          </w:p>
          <w:p w:rsidR="001B28D8" w:rsidRDefault="001B28D8" w:rsidP="00C54338">
            <w:pPr>
              <w:pStyle w:val="a5"/>
              <w:ind w:leftChars="-50" w:left="-105" w:rightChars="-50" w:right="-105" w:firstLineChars="0" w:firstLine="0"/>
              <w:jc w:val="center"/>
              <w:rPr>
                <w:rFonts w:ascii="Times New Roman" w:eastAsia="华文仿宋" w:hAnsi="Times New Roman"/>
                <w:b/>
                <w:sz w:val="26"/>
                <w:szCs w:val="26"/>
              </w:rPr>
            </w:pPr>
            <w:r>
              <w:rPr>
                <w:rFonts w:ascii="Times New Roman" w:eastAsia="华文仿宋" w:hAnsi="Times New Roman"/>
                <w:b/>
                <w:sz w:val="26"/>
                <w:szCs w:val="26"/>
              </w:rPr>
              <w:t>创新人才培养</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7</w:t>
            </w:r>
            <w:r>
              <w:rPr>
                <w:rFonts w:ascii="Times New Roman" w:eastAsia="华文仿宋" w:hAnsi="Times New Roman"/>
                <w:b/>
                <w:sz w:val="26"/>
                <w:szCs w:val="26"/>
              </w:rPr>
              <w:t>分）</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4"/>
                <w:szCs w:val="24"/>
              </w:rPr>
              <w:t>（此项根据各校实际情况选填）</w:t>
            </w: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基础学科高层次</w:t>
            </w:r>
          </w:p>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人才培养</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培养基础学科拔尖创新人才情况；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基础学科优秀本科毕业生直接攻读博士学位规模；</w:t>
            </w:r>
          </w:p>
        </w:tc>
        <w:tc>
          <w:tcPr>
            <w:tcW w:w="481" w:type="pct"/>
            <w:vMerge w:val="restar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7</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国家战略需求急需紧缺人才培养</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对照国家战略布局，培养国家战略和民生领域急需高层次创新人才培养情况；</w:t>
            </w:r>
          </w:p>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高精尖</w:t>
            </w:r>
            <w:proofErr w:type="gramStart"/>
            <w:r>
              <w:rPr>
                <w:rFonts w:ascii="Times New Roman" w:eastAsia="仿宋_GB2312" w:hAnsi="Times New Roman"/>
                <w:sz w:val="24"/>
              </w:rPr>
              <w:t>缺领域</w:t>
            </w:r>
            <w:proofErr w:type="gramEnd"/>
            <w:r>
              <w:rPr>
                <w:rFonts w:ascii="Times New Roman" w:eastAsia="仿宋_GB2312" w:hAnsi="Times New Roman"/>
                <w:sz w:val="24"/>
              </w:rPr>
              <w:t>人才招生政策及优秀本科毕业生直接攻读博士学位情况；</w:t>
            </w:r>
          </w:p>
        </w:tc>
        <w:tc>
          <w:tcPr>
            <w:tcW w:w="481" w:type="pct"/>
            <w:vMerge/>
            <w:vAlign w:val="center"/>
          </w:tcPr>
          <w:p w:rsidR="001B28D8" w:rsidRDefault="001B28D8" w:rsidP="00C54338">
            <w:pPr>
              <w:adjustRightInd w:val="0"/>
              <w:snapToGrid w:val="0"/>
              <w:spacing w:line="288" w:lineRule="auto"/>
              <w:ind w:firstLineChars="200" w:firstLine="480"/>
              <w:jc w:val="center"/>
              <w:rPr>
                <w:rFonts w:ascii="Times New Roman" w:eastAsia="仿宋_GB2312" w:hAnsi="Times New Roman"/>
                <w:sz w:val="24"/>
              </w:rPr>
            </w:pPr>
          </w:p>
        </w:tc>
      </w:tr>
      <w:tr w:rsidR="001B28D8" w:rsidTr="00C54338">
        <w:trPr>
          <w:trHeight w:val="865"/>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江苏省重点产业集群急需紧缺人才培养</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围绕江苏省先进制造业集群、重点产业链，培养急需紧缺高层次创新人才的举措；</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江苏省急需紧缺高层次创新人才培养规模；</w:t>
            </w:r>
          </w:p>
        </w:tc>
        <w:tc>
          <w:tcPr>
            <w:tcW w:w="481" w:type="pct"/>
            <w:vMerge/>
            <w:vAlign w:val="center"/>
          </w:tcPr>
          <w:p w:rsidR="001B28D8" w:rsidRDefault="001B28D8" w:rsidP="00C54338">
            <w:pPr>
              <w:adjustRightInd w:val="0"/>
              <w:snapToGrid w:val="0"/>
              <w:spacing w:line="288" w:lineRule="auto"/>
              <w:ind w:firstLineChars="200" w:firstLine="480"/>
              <w:jc w:val="center"/>
              <w:rPr>
                <w:rFonts w:ascii="Times New Roman" w:eastAsia="仿宋_GB2312" w:hAnsi="Times New Roman"/>
                <w:sz w:val="24"/>
              </w:rPr>
            </w:pPr>
          </w:p>
        </w:tc>
      </w:tr>
      <w:tr w:rsidR="001B28D8" w:rsidTr="00C54338">
        <w:trPr>
          <w:trHeight w:val="615"/>
        </w:trPr>
        <w:tc>
          <w:tcPr>
            <w:tcW w:w="658" w:type="pct"/>
            <w:vMerge/>
            <w:vAlign w:val="center"/>
          </w:tcPr>
          <w:p w:rsidR="001B28D8" w:rsidRDefault="001B28D8" w:rsidP="00C54338">
            <w:pPr>
              <w:pStyle w:val="a5"/>
              <w:ind w:firstLineChars="0" w:firstLine="0"/>
              <w:jc w:val="center"/>
              <w:rPr>
                <w:rFonts w:ascii="Times New Roman" w:eastAsia="华文仿宋" w:hAnsi="Times New Roman"/>
                <w:b/>
                <w:sz w:val="26"/>
                <w:szCs w:val="26"/>
              </w:rPr>
            </w:pPr>
          </w:p>
        </w:tc>
        <w:tc>
          <w:tcPr>
            <w:tcW w:w="1629" w:type="pct"/>
            <w:vAlign w:val="center"/>
          </w:tcPr>
          <w:p w:rsidR="001B28D8" w:rsidRDefault="001B28D8" w:rsidP="00C54338">
            <w:pPr>
              <w:snapToGrid w:val="0"/>
              <w:jc w:val="center"/>
              <w:rPr>
                <w:rFonts w:ascii="Times New Roman" w:eastAsia="仿宋_GB2312" w:hAnsi="Times New Roman"/>
                <w:bCs/>
                <w:sz w:val="24"/>
              </w:rPr>
            </w:pPr>
            <w:r>
              <w:rPr>
                <w:rFonts w:ascii="Times New Roman" w:eastAsia="仿宋_GB2312" w:hAnsi="Times New Roman"/>
                <w:bCs/>
                <w:sz w:val="24"/>
              </w:rPr>
              <w:t>行业特色创新人才培养</w:t>
            </w:r>
          </w:p>
        </w:tc>
        <w:tc>
          <w:tcPr>
            <w:tcW w:w="2230" w:type="pct"/>
            <w:vAlign w:val="center"/>
          </w:tcPr>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行业特色创新人才培养的方案及成效；</w:t>
            </w:r>
          </w:p>
          <w:p w:rsidR="001B28D8" w:rsidRDefault="001B28D8" w:rsidP="00C54338">
            <w:pPr>
              <w:snapToGrid w:val="0"/>
              <w:rPr>
                <w:rFonts w:ascii="Times New Roman" w:eastAsia="仿宋_GB2312" w:hAnsi="Times New Roman"/>
                <w:sz w:val="24"/>
              </w:rPr>
            </w:pPr>
            <w:r>
              <w:rPr>
                <w:rFonts w:ascii="Times New Roman" w:eastAsia="仿宋_GB2312" w:hAnsi="Times New Roman"/>
                <w:sz w:val="24"/>
              </w:rPr>
              <w:t xml:space="preserve">2. </w:t>
            </w:r>
            <w:r>
              <w:rPr>
                <w:rFonts w:ascii="Times New Roman" w:eastAsia="仿宋_GB2312" w:hAnsi="Times New Roman"/>
                <w:sz w:val="24"/>
              </w:rPr>
              <w:t>行业特色创新人才培养的规模；</w:t>
            </w:r>
          </w:p>
        </w:tc>
        <w:tc>
          <w:tcPr>
            <w:tcW w:w="481" w:type="pct"/>
            <w:vMerge/>
            <w:vAlign w:val="center"/>
          </w:tcPr>
          <w:p w:rsidR="001B28D8" w:rsidRDefault="001B28D8" w:rsidP="00C54338">
            <w:pPr>
              <w:adjustRightInd w:val="0"/>
              <w:snapToGrid w:val="0"/>
              <w:spacing w:line="288" w:lineRule="auto"/>
              <w:ind w:firstLineChars="200" w:firstLine="480"/>
              <w:jc w:val="center"/>
              <w:rPr>
                <w:rFonts w:ascii="Times New Roman" w:eastAsia="仿宋_GB2312" w:hAnsi="Times New Roman"/>
                <w:sz w:val="24"/>
              </w:rPr>
            </w:pPr>
          </w:p>
        </w:tc>
      </w:tr>
      <w:tr w:rsidR="001B28D8" w:rsidTr="00C54338">
        <w:trPr>
          <w:trHeight w:val="707"/>
        </w:trPr>
        <w:tc>
          <w:tcPr>
            <w:tcW w:w="658" w:type="pct"/>
            <w:vMerge w:val="restart"/>
            <w:vAlign w:val="center"/>
          </w:tcPr>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研究生教育</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lastRenderedPageBreak/>
              <w:t>其它重要工作</w:t>
            </w:r>
          </w:p>
          <w:p w:rsidR="001B28D8" w:rsidRDefault="001B28D8" w:rsidP="00C54338">
            <w:pPr>
              <w:pStyle w:val="a5"/>
              <w:ind w:firstLineChars="0" w:firstLine="0"/>
              <w:jc w:val="center"/>
              <w:rPr>
                <w:rFonts w:ascii="Times New Roman" w:eastAsia="华文仿宋" w:hAnsi="Times New Roman"/>
                <w:b/>
                <w:sz w:val="26"/>
                <w:szCs w:val="26"/>
              </w:rPr>
            </w:pPr>
            <w:r>
              <w:rPr>
                <w:rFonts w:ascii="Times New Roman" w:eastAsia="华文仿宋" w:hAnsi="Times New Roman"/>
                <w:b/>
                <w:sz w:val="26"/>
                <w:szCs w:val="26"/>
              </w:rPr>
              <w:t>（</w:t>
            </w:r>
            <w:r>
              <w:rPr>
                <w:rFonts w:ascii="Times New Roman" w:eastAsia="华文仿宋" w:hAnsi="Times New Roman"/>
                <w:b/>
                <w:sz w:val="26"/>
                <w:szCs w:val="26"/>
              </w:rPr>
              <w:t>10</w:t>
            </w:r>
            <w:r>
              <w:rPr>
                <w:rFonts w:ascii="Times New Roman" w:eastAsia="华文仿宋" w:hAnsi="Times New Roman"/>
                <w:b/>
                <w:sz w:val="26"/>
                <w:szCs w:val="26"/>
              </w:rPr>
              <w:t>分）</w:t>
            </w: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lastRenderedPageBreak/>
              <w:t>质量保障体系建设</w:t>
            </w:r>
          </w:p>
        </w:tc>
        <w:tc>
          <w:tcPr>
            <w:tcW w:w="2230" w:type="pct"/>
            <w:vAlign w:val="center"/>
          </w:tcPr>
          <w:p w:rsidR="001B28D8" w:rsidRDefault="001B28D8" w:rsidP="00C54338">
            <w:pPr>
              <w:snapToGrid w:val="0"/>
              <w:ind w:left="240" w:hangingChars="100" w:hanging="240"/>
              <w:rPr>
                <w:rFonts w:ascii="Times New Roman" w:eastAsia="仿宋_GB2312" w:hAnsi="Times New Roman"/>
                <w:sz w:val="24"/>
              </w:rPr>
            </w:pPr>
            <w:r>
              <w:rPr>
                <w:rFonts w:ascii="Times New Roman" w:eastAsia="仿宋_GB2312" w:hAnsi="Times New Roman"/>
                <w:sz w:val="24"/>
              </w:rPr>
              <w:t xml:space="preserve">1. </w:t>
            </w:r>
            <w:r>
              <w:rPr>
                <w:rFonts w:ascii="Times New Roman" w:eastAsia="仿宋_GB2312" w:hAnsi="Times New Roman"/>
                <w:sz w:val="24"/>
              </w:rPr>
              <w:t>保障学位授予质量的主要措施和突出成效；</w:t>
            </w:r>
          </w:p>
          <w:p w:rsidR="001B28D8" w:rsidRDefault="001B28D8" w:rsidP="00C54338">
            <w:pPr>
              <w:snapToGrid w:val="0"/>
              <w:rPr>
                <w:rFonts w:ascii="Times New Roman" w:eastAsia="仿宋_GB2312" w:hAnsi="Times New Roman"/>
              </w:rPr>
            </w:pPr>
            <w:r>
              <w:rPr>
                <w:rFonts w:ascii="Times New Roman" w:eastAsia="仿宋_GB2312" w:hAnsi="Times New Roman"/>
                <w:sz w:val="24"/>
              </w:rPr>
              <w:t xml:space="preserve">2. </w:t>
            </w:r>
            <w:r>
              <w:rPr>
                <w:rFonts w:ascii="Times New Roman" w:eastAsia="仿宋_GB2312" w:hAnsi="Times New Roman"/>
                <w:sz w:val="24"/>
              </w:rPr>
              <w:t>经费保障方面的主要措施和突出成效；</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3</w:t>
            </w:r>
            <w:r>
              <w:rPr>
                <w:rFonts w:ascii="Times New Roman" w:eastAsia="仿宋_GB2312" w:hAnsi="Times New Roman"/>
                <w:sz w:val="24"/>
              </w:rPr>
              <w:t>分</w:t>
            </w:r>
          </w:p>
        </w:tc>
      </w:tr>
      <w:tr w:rsidR="001B28D8" w:rsidTr="00C54338">
        <w:trPr>
          <w:trHeight w:val="865"/>
        </w:trPr>
        <w:tc>
          <w:tcPr>
            <w:tcW w:w="658" w:type="pct"/>
            <w:vMerge/>
            <w:vAlign w:val="center"/>
          </w:tcPr>
          <w:p w:rsidR="001B28D8" w:rsidRDefault="001B28D8" w:rsidP="00C54338">
            <w:pPr>
              <w:snapToGrid w:val="0"/>
              <w:jc w:val="left"/>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t>第三方质量评价</w:t>
            </w:r>
          </w:p>
        </w:tc>
        <w:tc>
          <w:tcPr>
            <w:tcW w:w="2230" w:type="pct"/>
            <w:vAlign w:val="center"/>
          </w:tcPr>
          <w:p w:rsidR="001B28D8" w:rsidRDefault="001B28D8" w:rsidP="00C54338">
            <w:pPr>
              <w:rPr>
                <w:rFonts w:ascii="Times New Roman" w:eastAsia="仿宋_GB2312" w:hAnsi="Times New Roman"/>
              </w:rPr>
            </w:pPr>
            <w:r>
              <w:rPr>
                <w:rFonts w:ascii="Times New Roman" w:eastAsia="仿宋_GB2312" w:hAnsi="Times New Roman"/>
                <w:sz w:val="24"/>
              </w:rPr>
              <w:t>研究生教育代表性成果、重大荣誉或奖励（包括学位论文抽检合格率、</w:t>
            </w:r>
            <w:proofErr w:type="gramStart"/>
            <w:r>
              <w:rPr>
                <w:rFonts w:ascii="Times New Roman" w:eastAsia="仿宋_GB2312" w:hAnsi="Times New Roman"/>
                <w:sz w:val="24"/>
              </w:rPr>
              <w:t>优博优硕</w:t>
            </w:r>
            <w:proofErr w:type="gramEnd"/>
            <w:r>
              <w:rPr>
                <w:rFonts w:ascii="Times New Roman" w:eastAsia="仿宋_GB2312" w:hAnsi="Times New Roman"/>
                <w:sz w:val="24"/>
              </w:rPr>
              <w:t>入选情况、研究生获得的高水平学科竞赛和研究成果等相关奖励、荣誉等）；</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3</w:t>
            </w:r>
            <w:r>
              <w:rPr>
                <w:rFonts w:ascii="Times New Roman" w:eastAsia="仿宋_GB2312" w:hAnsi="Times New Roman"/>
                <w:sz w:val="24"/>
              </w:rPr>
              <w:t>分</w:t>
            </w:r>
          </w:p>
        </w:tc>
      </w:tr>
      <w:tr w:rsidR="001B28D8" w:rsidTr="00C54338">
        <w:trPr>
          <w:trHeight w:val="766"/>
        </w:trPr>
        <w:tc>
          <w:tcPr>
            <w:tcW w:w="658" w:type="pct"/>
            <w:vMerge/>
            <w:vAlign w:val="center"/>
          </w:tcPr>
          <w:p w:rsidR="001B28D8" w:rsidRDefault="001B28D8" w:rsidP="00C54338">
            <w:pPr>
              <w:snapToGrid w:val="0"/>
              <w:jc w:val="left"/>
              <w:rPr>
                <w:rFonts w:ascii="Times New Roman" w:eastAsia="华文仿宋" w:hAnsi="Times New Roman"/>
                <w:b/>
                <w:sz w:val="28"/>
                <w:szCs w:val="28"/>
              </w:rPr>
            </w:pPr>
          </w:p>
        </w:tc>
        <w:tc>
          <w:tcPr>
            <w:tcW w:w="1629" w:type="pct"/>
            <w:vAlign w:val="center"/>
          </w:tcPr>
          <w:p w:rsidR="001B28D8" w:rsidRDefault="001B28D8" w:rsidP="00C54338">
            <w:pPr>
              <w:snapToGrid w:val="0"/>
              <w:jc w:val="center"/>
              <w:rPr>
                <w:rFonts w:ascii="Times New Roman" w:eastAsia="仿宋_GB2312" w:hAnsi="Times New Roman"/>
                <w:sz w:val="24"/>
              </w:rPr>
            </w:pPr>
            <w:r>
              <w:rPr>
                <w:rFonts w:ascii="Times New Roman" w:eastAsia="仿宋_GB2312" w:hAnsi="Times New Roman"/>
                <w:sz w:val="24"/>
              </w:rPr>
              <w:t>其它特色工作</w:t>
            </w:r>
          </w:p>
        </w:tc>
        <w:tc>
          <w:tcPr>
            <w:tcW w:w="2230" w:type="pct"/>
            <w:vAlign w:val="center"/>
          </w:tcPr>
          <w:p w:rsidR="001B28D8" w:rsidRDefault="001B28D8" w:rsidP="00C54338">
            <w:pPr>
              <w:pStyle w:val="a5"/>
              <w:ind w:firstLineChars="0" w:firstLine="0"/>
              <w:rPr>
                <w:rFonts w:ascii="Times New Roman" w:eastAsia="仿宋_GB2312" w:hAnsi="Times New Roman"/>
              </w:rPr>
            </w:pPr>
            <w:r>
              <w:rPr>
                <w:rFonts w:ascii="Times New Roman" w:eastAsia="仿宋_GB2312" w:hAnsi="Times New Roman"/>
                <w:sz w:val="24"/>
              </w:rPr>
              <w:t>研究生教育其它卓有成效的工作，包括研究生教育管理队伍建设等情况。</w:t>
            </w:r>
          </w:p>
        </w:tc>
        <w:tc>
          <w:tcPr>
            <w:tcW w:w="481" w:type="pct"/>
            <w:vAlign w:val="center"/>
          </w:tcPr>
          <w:p w:rsidR="001B28D8" w:rsidRDefault="001B28D8" w:rsidP="00C54338">
            <w:pPr>
              <w:adjustRightInd w:val="0"/>
              <w:snapToGrid w:val="0"/>
              <w:spacing w:line="288" w:lineRule="auto"/>
              <w:jc w:val="center"/>
              <w:rPr>
                <w:rFonts w:ascii="Times New Roman" w:eastAsia="仿宋_GB2312" w:hAnsi="Times New Roman"/>
                <w:sz w:val="24"/>
              </w:rPr>
            </w:pPr>
            <w:r>
              <w:rPr>
                <w:rFonts w:ascii="Times New Roman" w:eastAsia="仿宋_GB2312" w:hAnsi="Times New Roman"/>
                <w:sz w:val="24"/>
              </w:rPr>
              <w:t>4</w:t>
            </w:r>
            <w:r>
              <w:rPr>
                <w:rFonts w:ascii="Times New Roman" w:eastAsia="仿宋_GB2312" w:hAnsi="Times New Roman"/>
                <w:sz w:val="24"/>
              </w:rPr>
              <w:t>分</w:t>
            </w:r>
          </w:p>
        </w:tc>
      </w:tr>
    </w:tbl>
    <w:p w:rsidR="001B28D8" w:rsidRDefault="001B28D8" w:rsidP="001B28D8">
      <w:pPr>
        <w:spacing w:line="240" w:lineRule="exact"/>
        <w:rPr>
          <w:rFonts w:ascii="Times New Roman" w:eastAsia="楷体" w:hAnsi="Times New Roman"/>
          <w:sz w:val="22"/>
        </w:rPr>
      </w:pPr>
      <w:r>
        <w:rPr>
          <w:rFonts w:ascii="Times New Roman" w:eastAsia="楷体" w:hAnsi="Times New Roman"/>
          <w:sz w:val="22"/>
        </w:rPr>
        <w:t>注：</w:t>
      </w:r>
      <w:r>
        <w:rPr>
          <w:rFonts w:ascii="Times New Roman" w:eastAsia="楷体" w:hAnsi="Times New Roman"/>
          <w:sz w:val="22"/>
        </w:rPr>
        <w:t>1.</w:t>
      </w:r>
      <w:r>
        <w:rPr>
          <w:rFonts w:ascii="Times New Roman" w:eastAsia="楷体" w:hAnsi="Times New Roman"/>
          <w:sz w:val="22"/>
        </w:rPr>
        <w:t>专任</w:t>
      </w:r>
      <w:proofErr w:type="gramStart"/>
      <w:r>
        <w:rPr>
          <w:rFonts w:ascii="Times New Roman" w:eastAsia="楷体" w:hAnsi="Times New Roman"/>
          <w:sz w:val="22"/>
        </w:rPr>
        <w:t>思政课</w:t>
      </w:r>
      <w:proofErr w:type="gramEnd"/>
      <w:r>
        <w:rPr>
          <w:rFonts w:ascii="Times New Roman" w:eastAsia="楷体" w:hAnsi="Times New Roman"/>
          <w:sz w:val="22"/>
        </w:rPr>
        <w:t>教师师生比一般不低于</w:t>
      </w:r>
      <w:r>
        <w:rPr>
          <w:rFonts w:ascii="Times New Roman" w:eastAsia="楷体" w:hAnsi="Times New Roman"/>
          <w:sz w:val="22"/>
        </w:rPr>
        <w:t>1:350</w:t>
      </w:r>
      <w:r>
        <w:rPr>
          <w:rFonts w:ascii="Times New Roman" w:eastAsia="楷体" w:hAnsi="Times New Roman"/>
          <w:sz w:val="22"/>
        </w:rPr>
        <w:t>，专职辅导员师生比一般不低于</w:t>
      </w:r>
      <w:r>
        <w:rPr>
          <w:rFonts w:ascii="Times New Roman" w:eastAsia="楷体" w:hAnsi="Times New Roman"/>
          <w:sz w:val="22"/>
        </w:rPr>
        <w:t>1:200</w:t>
      </w:r>
      <w:r>
        <w:rPr>
          <w:rFonts w:ascii="Times New Roman" w:eastAsia="楷体" w:hAnsi="Times New Roman"/>
          <w:sz w:val="22"/>
        </w:rPr>
        <w:t>；</w:t>
      </w:r>
    </w:p>
    <w:p w:rsidR="001B28D8" w:rsidRDefault="001B28D8" w:rsidP="001B28D8">
      <w:pPr>
        <w:spacing w:line="240" w:lineRule="exact"/>
        <w:ind w:leftChars="210" w:left="441"/>
        <w:rPr>
          <w:rFonts w:ascii="Times New Roman" w:eastAsia="楷体" w:hAnsi="Times New Roman"/>
          <w:sz w:val="22"/>
        </w:rPr>
      </w:pPr>
      <w:r>
        <w:rPr>
          <w:rFonts w:ascii="Times New Roman" w:eastAsia="楷体" w:hAnsi="Times New Roman"/>
          <w:sz w:val="22"/>
        </w:rPr>
        <w:t>2.</w:t>
      </w:r>
      <w:r>
        <w:rPr>
          <w:rFonts w:ascii="Times New Roman" w:eastAsia="楷体" w:hAnsi="Times New Roman"/>
          <w:sz w:val="22"/>
        </w:rPr>
        <w:t>用于导师培训的经费人均不少于</w:t>
      </w:r>
      <w:r>
        <w:rPr>
          <w:rFonts w:ascii="Times New Roman" w:eastAsia="楷体" w:hAnsi="Times New Roman"/>
          <w:sz w:val="22"/>
        </w:rPr>
        <w:t>200</w:t>
      </w:r>
      <w:r>
        <w:rPr>
          <w:rFonts w:ascii="Times New Roman" w:eastAsia="楷体" w:hAnsi="Times New Roman"/>
          <w:sz w:val="22"/>
        </w:rPr>
        <w:t>元或总额不低于</w:t>
      </w:r>
      <w:r>
        <w:rPr>
          <w:rFonts w:ascii="Times New Roman" w:eastAsia="楷体" w:hAnsi="Times New Roman"/>
          <w:sz w:val="22"/>
        </w:rPr>
        <w:t>10</w:t>
      </w:r>
      <w:r>
        <w:rPr>
          <w:rFonts w:ascii="Times New Roman" w:eastAsia="楷体" w:hAnsi="Times New Roman"/>
          <w:sz w:val="22"/>
        </w:rPr>
        <w:t>万元；</w:t>
      </w:r>
    </w:p>
    <w:p w:rsidR="001B28D8" w:rsidRDefault="001B28D8" w:rsidP="001B28D8">
      <w:pPr>
        <w:spacing w:line="240" w:lineRule="exact"/>
        <w:ind w:leftChars="210" w:left="441"/>
        <w:rPr>
          <w:rFonts w:ascii="Times New Roman" w:eastAsia="楷体" w:hAnsi="Times New Roman"/>
          <w:sz w:val="22"/>
        </w:rPr>
      </w:pPr>
      <w:r>
        <w:rPr>
          <w:rFonts w:ascii="Times New Roman" w:eastAsia="楷体" w:hAnsi="Times New Roman"/>
          <w:sz w:val="22"/>
        </w:rPr>
        <w:t>3. “</w:t>
      </w:r>
      <w:r>
        <w:rPr>
          <w:rFonts w:ascii="Times New Roman" w:eastAsia="楷体" w:hAnsi="Times New Roman"/>
          <w:sz w:val="22"/>
        </w:rPr>
        <w:t>双一流</w:t>
      </w:r>
      <w:r>
        <w:rPr>
          <w:rFonts w:ascii="Times New Roman" w:eastAsia="楷体" w:hAnsi="Times New Roman"/>
          <w:sz w:val="22"/>
        </w:rPr>
        <w:t>”</w:t>
      </w:r>
      <w:r>
        <w:rPr>
          <w:rFonts w:ascii="Times New Roman" w:eastAsia="楷体" w:hAnsi="Times New Roman"/>
          <w:sz w:val="22"/>
        </w:rPr>
        <w:t>建设学科、江苏高校优势学科原则上每个建设周期至少承办</w:t>
      </w:r>
      <w:r>
        <w:rPr>
          <w:rFonts w:ascii="Times New Roman" w:eastAsia="楷体" w:hAnsi="Times New Roman"/>
          <w:sz w:val="22"/>
        </w:rPr>
        <w:t>2</w:t>
      </w:r>
      <w:r>
        <w:rPr>
          <w:rFonts w:ascii="Times New Roman" w:eastAsia="楷体" w:hAnsi="Times New Roman"/>
          <w:sz w:val="22"/>
        </w:rPr>
        <w:t>次省级以上研究生科研创新实践活动；</w:t>
      </w:r>
    </w:p>
    <w:p w:rsidR="001B28D8" w:rsidRDefault="001B28D8" w:rsidP="001B28D8">
      <w:pPr>
        <w:spacing w:line="240" w:lineRule="exact"/>
        <w:ind w:leftChars="210" w:left="441"/>
        <w:rPr>
          <w:rFonts w:ascii="Times New Roman" w:eastAsia="楷体" w:hAnsi="Times New Roman"/>
          <w:sz w:val="22"/>
        </w:rPr>
      </w:pPr>
      <w:r>
        <w:rPr>
          <w:rFonts w:ascii="Times New Roman" w:eastAsia="楷体" w:hAnsi="Times New Roman"/>
          <w:sz w:val="22"/>
        </w:rPr>
        <w:t>4. “</w:t>
      </w:r>
      <w:r>
        <w:rPr>
          <w:rFonts w:ascii="Times New Roman" w:eastAsia="楷体" w:hAnsi="Times New Roman"/>
          <w:sz w:val="22"/>
        </w:rPr>
        <w:t>双一流</w:t>
      </w:r>
      <w:r>
        <w:rPr>
          <w:rFonts w:ascii="Times New Roman" w:eastAsia="楷体" w:hAnsi="Times New Roman"/>
          <w:sz w:val="22"/>
        </w:rPr>
        <w:t>”</w:t>
      </w:r>
      <w:r>
        <w:rPr>
          <w:rFonts w:ascii="Times New Roman" w:eastAsia="楷体" w:hAnsi="Times New Roman"/>
          <w:sz w:val="22"/>
        </w:rPr>
        <w:t>建设高校、江苏地方高水平大学建设高校具有</w:t>
      </w:r>
      <w:r>
        <w:rPr>
          <w:rFonts w:ascii="Times New Roman" w:eastAsia="楷体" w:hAnsi="Times New Roman"/>
          <w:sz w:val="22"/>
        </w:rPr>
        <w:t>3</w:t>
      </w:r>
      <w:r>
        <w:rPr>
          <w:rFonts w:ascii="Times New Roman" w:eastAsia="楷体" w:hAnsi="Times New Roman"/>
          <w:sz w:val="22"/>
        </w:rPr>
        <w:t>个月及以上国际联合培养经历博士研究生原则上应达到在校博士研究生总数的</w:t>
      </w:r>
      <w:r>
        <w:rPr>
          <w:rFonts w:ascii="Times New Roman" w:eastAsia="楷体" w:hAnsi="Times New Roman"/>
          <w:sz w:val="22"/>
        </w:rPr>
        <w:t>15%</w:t>
      </w:r>
      <w:r>
        <w:rPr>
          <w:rFonts w:ascii="Times New Roman" w:eastAsia="楷体" w:hAnsi="Times New Roman"/>
          <w:sz w:val="22"/>
        </w:rPr>
        <w:t>以上；</w:t>
      </w:r>
      <w:r>
        <w:rPr>
          <w:rFonts w:ascii="Times New Roman" w:eastAsia="楷体" w:hAnsi="Times New Roman"/>
          <w:sz w:val="22"/>
        </w:rPr>
        <w:t>“</w:t>
      </w:r>
      <w:r>
        <w:rPr>
          <w:rFonts w:ascii="Times New Roman" w:eastAsia="楷体" w:hAnsi="Times New Roman"/>
          <w:sz w:val="22"/>
        </w:rPr>
        <w:t>双一流</w:t>
      </w:r>
      <w:r>
        <w:rPr>
          <w:rFonts w:ascii="Times New Roman" w:eastAsia="楷体" w:hAnsi="Times New Roman"/>
          <w:sz w:val="22"/>
        </w:rPr>
        <w:t>”</w:t>
      </w:r>
      <w:r>
        <w:rPr>
          <w:rFonts w:ascii="Times New Roman" w:eastAsia="楷体" w:hAnsi="Times New Roman"/>
          <w:sz w:val="22"/>
        </w:rPr>
        <w:t>建设高校、江苏地方高水平大学建设高校国际联合培养基地数原则上应不少于本单位省级优势学科立项建设项目数；</w:t>
      </w:r>
      <w:r>
        <w:rPr>
          <w:rFonts w:ascii="Times New Roman" w:eastAsia="楷体" w:hAnsi="Times New Roman"/>
          <w:sz w:val="22"/>
        </w:rPr>
        <w:t>“</w:t>
      </w:r>
      <w:r>
        <w:rPr>
          <w:rFonts w:ascii="Times New Roman" w:eastAsia="楷体" w:hAnsi="Times New Roman"/>
          <w:sz w:val="22"/>
        </w:rPr>
        <w:t>双一流</w:t>
      </w:r>
      <w:r>
        <w:rPr>
          <w:rFonts w:ascii="Times New Roman" w:eastAsia="楷体" w:hAnsi="Times New Roman"/>
          <w:sz w:val="22"/>
        </w:rPr>
        <w:t>”</w:t>
      </w:r>
      <w:r>
        <w:rPr>
          <w:rFonts w:ascii="Times New Roman" w:eastAsia="楷体" w:hAnsi="Times New Roman"/>
          <w:sz w:val="22"/>
        </w:rPr>
        <w:t>建设高校、江苏地方高水平大学建设高校每年选派博士研究生参加国际学术会议（含线上）比例原则上应不低于在校博士研究生总人数的</w:t>
      </w:r>
      <w:r>
        <w:rPr>
          <w:rFonts w:ascii="Times New Roman" w:eastAsia="楷体" w:hAnsi="Times New Roman"/>
          <w:sz w:val="22"/>
        </w:rPr>
        <w:t>20%</w:t>
      </w:r>
      <w:r>
        <w:rPr>
          <w:rFonts w:ascii="Times New Roman" w:eastAsia="楷体" w:hAnsi="Times New Roman"/>
          <w:sz w:val="22"/>
        </w:rPr>
        <w:t>。</w:t>
      </w:r>
    </w:p>
    <w:p w:rsidR="001B28D8" w:rsidRDefault="001B28D8" w:rsidP="001B28D8">
      <w:pPr>
        <w:spacing w:before="120" w:after="240" w:line="500" w:lineRule="exact"/>
        <w:jc w:val="center"/>
        <w:rPr>
          <w:rFonts w:ascii="Times New Roman" w:hAnsi="Times New Roman"/>
          <w:b/>
          <w:bCs/>
          <w:sz w:val="52"/>
          <w:szCs w:val="52"/>
        </w:rPr>
        <w:sectPr w:rsidR="001B28D8">
          <w:pgSz w:w="16838" w:h="11906" w:orient="landscape"/>
          <w:pgMar w:top="1797" w:right="1440" w:bottom="1797" w:left="1440" w:header="851" w:footer="992" w:gutter="0"/>
          <w:cols w:space="720"/>
          <w:docGrid w:linePitch="312"/>
        </w:sectPr>
      </w:pPr>
    </w:p>
    <w:p w:rsidR="009916A1" w:rsidRPr="001B28D8" w:rsidRDefault="009916A1">
      <w:bookmarkStart w:id="0" w:name="_GoBack"/>
      <w:bookmarkEnd w:id="0"/>
    </w:p>
    <w:sectPr w:rsidR="009916A1" w:rsidRPr="001B28D8" w:rsidSect="001B28D8">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09C4" w:rsidRDefault="000E09C4" w:rsidP="001B28D8">
      <w:r>
        <w:separator/>
      </w:r>
    </w:p>
  </w:endnote>
  <w:endnote w:type="continuationSeparator" w:id="0">
    <w:p w:rsidR="000E09C4" w:rsidRDefault="000E09C4" w:rsidP="001B28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微软雅黑"/>
    <w:charset w:val="00"/>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09C4" w:rsidRDefault="000E09C4" w:rsidP="001B28D8">
      <w:r>
        <w:separator/>
      </w:r>
    </w:p>
  </w:footnote>
  <w:footnote w:type="continuationSeparator" w:id="0">
    <w:p w:rsidR="000E09C4" w:rsidRDefault="000E09C4" w:rsidP="001B28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4D0"/>
    <w:rsid w:val="000E09C4"/>
    <w:rsid w:val="001B28D8"/>
    <w:rsid w:val="008F24D0"/>
    <w:rsid w:val="009916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28D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B28D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B28D8"/>
    <w:rPr>
      <w:sz w:val="18"/>
      <w:szCs w:val="18"/>
    </w:rPr>
  </w:style>
  <w:style w:type="paragraph" w:styleId="a4">
    <w:name w:val="footer"/>
    <w:basedOn w:val="a"/>
    <w:link w:val="Char0"/>
    <w:uiPriority w:val="99"/>
    <w:unhideWhenUsed/>
    <w:rsid w:val="001B28D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B28D8"/>
    <w:rPr>
      <w:sz w:val="18"/>
      <w:szCs w:val="18"/>
    </w:rPr>
  </w:style>
  <w:style w:type="paragraph" w:styleId="a5">
    <w:name w:val="List Paragraph"/>
    <w:basedOn w:val="a"/>
    <w:uiPriority w:val="34"/>
    <w:qFormat/>
    <w:rsid w:val="001B28D8"/>
    <w:pPr>
      <w:ind w:firstLineChars="200" w:firstLine="420"/>
    </w:pPr>
    <w:rPr>
      <w:rFonts w:ascii="等线" w:eastAsia="等线" w:hAnsi="等线"/>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28D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B28D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B28D8"/>
    <w:rPr>
      <w:sz w:val="18"/>
      <w:szCs w:val="18"/>
    </w:rPr>
  </w:style>
  <w:style w:type="paragraph" w:styleId="a4">
    <w:name w:val="footer"/>
    <w:basedOn w:val="a"/>
    <w:link w:val="Char0"/>
    <w:uiPriority w:val="99"/>
    <w:unhideWhenUsed/>
    <w:rsid w:val="001B28D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B28D8"/>
    <w:rPr>
      <w:sz w:val="18"/>
      <w:szCs w:val="18"/>
    </w:rPr>
  </w:style>
  <w:style w:type="paragraph" w:styleId="a5">
    <w:name w:val="List Paragraph"/>
    <w:basedOn w:val="a"/>
    <w:uiPriority w:val="34"/>
    <w:qFormat/>
    <w:rsid w:val="001B28D8"/>
    <w:pPr>
      <w:ind w:firstLineChars="200" w:firstLine="420"/>
    </w:pPr>
    <w:rPr>
      <w:rFonts w:ascii="等线" w:eastAsia="等线" w:hAnsi="等线"/>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432</Words>
  <Characters>2465</Characters>
  <Application>Microsoft Office Word</Application>
  <DocSecurity>0</DocSecurity>
  <Lines>20</Lines>
  <Paragraphs>5</Paragraphs>
  <ScaleCrop>false</ScaleCrop>
  <Company>JSJYT</Company>
  <LinksUpToDate>false</LinksUpToDate>
  <CharactersWithSpaces>2892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2024-01-16T02:18:00Z</dcterms:created>
  <dcterms:modified xsi:type="dcterms:W3CDTF">2024-01-16T02:18:00Z</dcterms:modified>
</cp:coreProperties>
</file>