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textAlignment w:val="auto"/>
        <w:rPr>
          <w:rFonts w:eastAsia="黑体"/>
          <w:color w:val="000000"/>
          <w:sz w:val="32"/>
          <w:szCs w:val="32"/>
        </w:rPr>
      </w:pPr>
      <w:r>
        <w:rPr>
          <w:rFonts w:eastAsia="黑体"/>
          <w:color w:val="000000"/>
          <w:sz w:val="32"/>
          <w:szCs w:val="32"/>
        </w:rPr>
        <w:t>附件2</w:t>
      </w:r>
    </w:p>
    <w:p>
      <w:pPr>
        <w:keepNext w:val="0"/>
        <w:keepLines w:val="0"/>
        <w:pageBreakBefore w:val="0"/>
        <w:kinsoku/>
        <w:wordWrap/>
        <w:overflowPunct/>
        <w:topLinePunct w:val="0"/>
        <w:autoSpaceDE/>
        <w:autoSpaceDN/>
        <w:bidi w:val="0"/>
        <w:adjustRightInd/>
        <w:snapToGrid/>
        <w:spacing w:line="560" w:lineRule="exact"/>
        <w:jc w:val="center"/>
        <w:textAlignment w:val="auto"/>
        <w:rPr>
          <w:rFonts w:eastAsia="华文中宋"/>
          <w:b/>
          <w:color w:val="000000"/>
          <w:sz w:val="44"/>
          <w:szCs w:val="44"/>
        </w:rPr>
      </w:pPr>
    </w:p>
    <w:p>
      <w:pPr>
        <w:keepNext w:val="0"/>
        <w:keepLines w:val="0"/>
        <w:pageBreakBefore w:val="0"/>
        <w:widowControl w:val="0"/>
        <w:kinsoku/>
        <w:wordWrap/>
        <w:overflowPunct/>
        <w:topLinePunct w:val="0"/>
        <w:autoSpaceDE/>
        <w:autoSpaceDN/>
        <w:bidi w:val="0"/>
        <w:adjustRightInd/>
        <w:snapToGrid/>
        <w:spacing w:line="900" w:lineRule="exact"/>
        <w:jc w:val="both"/>
        <w:textAlignment w:val="auto"/>
        <w:rPr>
          <w:rFonts w:eastAsia="华文中宋"/>
          <w:b/>
          <w:color w:val="000000"/>
          <w:sz w:val="48"/>
          <w:szCs w:val="44"/>
        </w:rPr>
      </w:pPr>
    </w:p>
    <w:p>
      <w:pPr>
        <w:keepNext w:val="0"/>
        <w:keepLines w:val="0"/>
        <w:pageBreakBefore w:val="0"/>
        <w:widowControl w:val="0"/>
        <w:kinsoku/>
        <w:wordWrap/>
        <w:overflowPunct/>
        <w:topLinePunct w:val="0"/>
        <w:autoSpaceDE/>
        <w:autoSpaceDN/>
        <w:bidi w:val="0"/>
        <w:adjustRightInd/>
        <w:snapToGrid/>
        <w:spacing w:line="900" w:lineRule="exact"/>
        <w:jc w:val="both"/>
        <w:textAlignment w:val="auto"/>
        <w:rPr>
          <w:rFonts w:eastAsia="华文中宋"/>
          <w:b/>
          <w:color w:val="000000"/>
          <w:sz w:val="48"/>
          <w:szCs w:val="44"/>
        </w:rPr>
      </w:pPr>
    </w:p>
    <w:p>
      <w:pPr>
        <w:keepNext w:val="0"/>
        <w:keepLines w:val="0"/>
        <w:pageBreakBefore w:val="0"/>
        <w:widowControl w:val="0"/>
        <w:kinsoku/>
        <w:wordWrap/>
        <w:overflowPunct/>
        <w:topLinePunct w:val="0"/>
        <w:autoSpaceDE/>
        <w:autoSpaceDN/>
        <w:bidi w:val="0"/>
        <w:adjustRightInd/>
        <w:snapToGrid/>
        <w:spacing w:line="900" w:lineRule="exact"/>
        <w:jc w:val="center"/>
        <w:textAlignment w:val="auto"/>
        <w:rPr>
          <w:rFonts w:hint="eastAsia" w:ascii="方正小标宋_GBK" w:hAnsi="方正小标宋_GBK" w:eastAsia="方正小标宋_GBK" w:cs="方正小标宋_GBK"/>
          <w:b w:val="0"/>
          <w:bCs/>
          <w:color w:val="000000"/>
          <w:sz w:val="48"/>
          <w:szCs w:val="44"/>
        </w:rPr>
      </w:pPr>
      <w:r>
        <w:rPr>
          <w:rFonts w:hint="eastAsia" w:ascii="方正小标宋_GBK" w:hAnsi="方正小标宋_GBK" w:eastAsia="方正小标宋_GBK" w:cs="方正小标宋_GBK"/>
          <w:b w:val="0"/>
          <w:bCs/>
          <w:color w:val="000000"/>
          <w:sz w:val="48"/>
          <w:szCs w:val="44"/>
        </w:rPr>
        <w:t>江苏高校优秀青年思想政治理论课教师“领航·扬帆”计划培养任务书</w:t>
      </w:r>
    </w:p>
    <w:p>
      <w:pPr>
        <w:keepNext w:val="0"/>
        <w:keepLines w:val="0"/>
        <w:pageBreakBefore w:val="0"/>
        <w:widowControl w:val="0"/>
        <w:kinsoku/>
        <w:wordWrap/>
        <w:overflowPunct/>
        <w:topLinePunct w:val="0"/>
        <w:autoSpaceDE/>
        <w:autoSpaceDN/>
        <w:bidi w:val="0"/>
        <w:adjustRightInd/>
        <w:snapToGrid/>
        <w:spacing w:line="900" w:lineRule="exact"/>
        <w:textAlignment w:val="auto"/>
        <w:rPr>
          <w:b/>
          <w:sz w:val="30"/>
          <w:szCs w:val="30"/>
        </w:rPr>
      </w:pPr>
    </w:p>
    <w:p>
      <w:pPr>
        <w:keepNext w:val="0"/>
        <w:keepLines w:val="0"/>
        <w:pageBreakBefore w:val="0"/>
        <w:kinsoku/>
        <w:wordWrap/>
        <w:overflowPunct/>
        <w:topLinePunct w:val="0"/>
        <w:autoSpaceDE/>
        <w:autoSpaceDN/>
        <w:bidi w:val="0"/>
        <w:adjustRightInd/>
        <w:snapToGrid/>
        <w:spacing w:line="560" w:lineRule="exact"/>
        <w:textAlignment w:val="auto"/>
        <w:rPr>
          <w:b/>
          <w:sz w:val="30"/>
          <w:szCs w:val="30"/>
        </w:rPr>
      </w:pPr>
    </w:p>
    <w:p>
      <w:pPr>
        <w:keepNext w:val="0"/>
        <w:keepLines w:val="0"/>
        <w:pageBreakBefore w:val="0"/>
        <w:kinsoku/>
        <w:wordWrap/>
        <w:overflowPunct/>
        <w:topLinePunct w:val="0"/>
        <w:autoSpaceDE/>
        <w:autoSpaceDN/>
        <w:bidi w:val="0"/>
        <w:adjustRightInd/>
        <w:snapToGrid/>
        <w:spacing w:line="560" w:lineRule="exact"/>
        <w:textAlignment w:val="auto"/>
        <w:rPr>
          <w:b/>
          <w:sz w:val="30"/>
          <w:szCs w:val="30"/>
        </w:rPr>
      </w:pPr>
    </w:p>
    <w:p>
      <w:pPr>
        <w:keepNext w:val="0"/>
        <w:keepLines w:val="0"/>
        <w:pageBreakBefore w:val="0"/>
        <w:kinsoku/>
        <w:wordWrap/>
        <w:overflowPunct/>
        <w:topLinePunct w:val="0"/>
        <w:autoSpaceDE/>
        <w:autoSpaceDN/>
        <w:bidi w:val="0"/>
        <w:adjustRightInd/>
        <w:snapToGrid/>
        <w:spacing w:line="560" w:lineRule="exact"/>
        <w:textAlignment w:val="auto"/>
        <w:rPr>
          <w:b/>
          <w:sz w:val="30"/>
          <w:szCs w:val="30"/>
        </w:rPr>
      </w:pPr>
    </w:p>
    <w:p>
      <w:pPr>
        <w:keepNext w:val="0"/>
        <w:keepLines w:val="0"/>
        <w:pageBreakBefore w:val="0"/>
        <w:kinsoku/>
        <w:wordWrap/>
        <w:overflowPunct/>
        <w:topLinePunct w:val="0"/>
        <w:autoSpaceDE/>
        <w:autoSpaceDN/>
        <w:bidi w:val="0"/>
        <w:adjustRightInd/>
        <w:snapToGrid/>
        <w:spacing w:line="560" w:lineRule="exact"/>
        <w:textAlignment w:val="auto"/>
        <w:rPr>
          <w:b/>
          <w:sz w:val="30"/>
          <w:szCs w:val="30"/>
        </w:rPr>
      </w:pPr>
    </w:p>
    <w:p>
      <w:pPr>
        <w:keepNext w:val="0"/>
        <w:keepLines w:val="0"/>
        <w:pageBreakBefore w:val="0"/>
        <w:kinsoku/>
        <w:wordWrap/>
        <w:overflowPunct/>
        <w:topLinePunct w:val="0"/>
        <w:autoSpaceDE/>
        <w:autoSpaceDN/>
        <w:bidi w:val="0"/>
        <w:adjustRightInd/>
        <w:snapToGrid/>
        <w:spacing w:line="560" w:lineRule="exact"/>
        <w:textAlignment w:val="auto"/>
        <w:rPr>
          <w:b/>
          <w:sz w:val="30"/>
          <w:szCs w:val="30"/>
        </w:rPr>
      </w:pPr>
    </w:p>
    <w:p>
      <w:pPr>
        <w:keepNext w:val="0"/>
        <w:keepLines w:val="0"/>
        <w:pageBreakBefore w:val="0"/>
        <w:kinsoku/>
        <w:wordWrap/>
        <w:overflowPunct/>
        <w:topLinePunct w:val="0"/>
        <w:autoSpaceDE/>
        <w:autoSpaceDN/>
        <w:bidi w:val="0"/>
        <w:adjustRightInd/>
        <w:snapToGrid/>
        <w:spacing w:line="560" w:lineRule="exact"/>
        <w:textAlignment w:val="auto"/>
        <w:rPr>
          <w:b/>
          <w:sz w:val="30"/>
          <w:szCs w:val="30"/>
        </w:rPr>
      </w:pPr>
    </w:p>
    <w:p>
      <w:pPr>
        <w:keepNext w:val="0"/>
        <w:keepLines w:val="0"/>
        <w:pageBreakBefore w:val="0"/>
        <w:kinsoku/>
        <w:wordWrap/>
        <w:overflowPunct/>
        <w:topLinePunct w:val="0"/>
        <w:autoSpaceDE/>
        <w:autoSpaceDN/>
        <w:bidi w:val="0"/>
        <w:adjustRightInd/>
        <w:snapToGrid/>
        <w:spacing w:line="560" w:lineRule="exact"/>
        <w:textAlignment w:val="auto"/>
        <w:rPr>
          <w:b/>
          <w:sz w:val="30"/>
          <w:szCs w:val="30"/>
        </w:rPr>
      </w:pPr>
    </w:p>
    <w:p>
      <w:pPr>
        <w:keepNext w:val="0"/>
        <w:keepLines w:val="0"/>
        <w:pageBreakBefore w:val="0"/>
        <w:kinsoku/>
        <w:wordWrap/>
        <w:overflowPunct/>
        <w:topLinePunct w:val="0"/>
        <w:autoSpaceDE/>
        <w:autoSpaceDN/>
        <w:bidi w:val="0"/>
        <w:adjustRightInd/>
        <w:snapToGrid/>
        <w:spacing w:line="560" w:lineRule="exact"/>
        <w:textAlignment w:val="auto"/>
        <w:rPr>
          <w:b/>
          <w:sz w:val="30"/>
          <w:szCs w:val="30"/>
        </w:rPr>
      </w:pPr>
    </w:p>
    <w:p>
      <w:pPr>
        <w:keepNext w:val="0"/>
        <w:keepLines w:val="0"/>
        <w:pageBreakBefore w:val="0"/>
        <w:kinsoku/>
        <w:wordWrap/>
        <w:overflowPunct/>
        <w:topLinePunct w:val="0"/>
        <w:autoSpaceDE/>
        <w:autoSpaceDN/>
        <w:bidi w:val="0"/>
        <w:adjustRightInd/>
        <w:snapToGrid/>
        <w:spacing w:line="560" w:lineRule="exact"/>
        <w:jc w:val="center"/>
        <w:textAlignment w:val="auto"/>
        <w:rPr>
          <w:b/>
          <w:sz w:val="32"/>
          <w:szCs w:val="30"/>
        </w:rPr>
      </w:pPr>
      <w:r>
        <w:rPr>
          <w:b/>
          <w:sz w:val="32"/>
          <w:szCs w:val="30"/>
        </w:rPr>
        <w:t>江苏省教育厅</w:t>
      </w:r>
    </w:p>
    <w:p>
      <w:pPr>
        <w:keepNext w:val="0"/>
        <w:keepLines w:val="0"/>
        <w:pageBreakBefore w:val="0"/>
        <w:kinsoku/>
        <w:wordWrap/>
        <w:overflowPunct/>
        <w:topLinePunct w:val="0"/>
        <w:autoSpaceDE/>
        <w:autoSpaceDN/>
        <w:bidi w:val="0"/>
        <w:adjustRightInd/>
        <w:snapToGrid/>
        <w:spacing w:line="560" w:lineRule="exact"/>
        <w:jc w:val="center"/>
        <w:textAlignment w:val="auto"/>
        <w:rPr>
          <w:b/>
          <w:sz w:val="32"/>
          <w:szCs w:val="30"/>
        </w:rPr>
      </w:pPr>
      <w:r>
        <w:rPr>
          <w:b/>
          <w:sz w:val="32"/>
          <w:szCs w:val="30"/>
        </w:rPr>
        <w:t>二〇</w:t>
      </w:r>
      <w:r>
        <w:rPr>
          <w:rFonts w:hint="eastAsia"/>
          <w:b/>
          <w:sz w:val="32"/>
          <w:szCs w:val="30"/>
        </w:rPr>
        <w:t>二四</w:t>
      </w:r>
      <w:r>
        <w:rPr>
          <w:b/>
          <w:sz w:val="32"/>
          <w:szCs w:val="30"/>
        </w:rPr>
        <w:t>年制</w:t>
      </w:r>
    </w:p>
    <w:p>
      <w:pPr>
        <w:keepNext w:val="0"/>
        <w:keepLines w:val="0"/>
        <w:pageBreakBefore w:val="0"/>
        <w:kinsoku/>
        <w:wordWrap/>
        <w:overflowPunct/>
        <w:topLinePunct w:val="0"/>
        <w:autoSpaceDE/>
        <w:autoSpaceDN/>
        <w:bidi w:val="0"/>
        <w:adjustRightInd/>
        <w:snapToGrid/>
        <w:spacing w:line="560" w:lineRule="exact"/>
        <w:jc w:val="center"/>
        <w:textAlignment w:val="auto"/>
        <w:rPr>
          <w:b/>
          <w:sz w:val="32"/>
          <w:szCs w:val="30"/>
        </w:rPr>
      </w:pPr>
    </w:p>
    <w:p>
      <w:pPr>
        <w:keepNext w:val="0"/>
        <w:keepLines w:val="0"/>
        <w:pageBreakBefore w:val="0"/>
        <w:kinsoku/>
        <w:wordWrap/>
        <w:overflowPunct/>
        <w:topLinePunct w:val="0"/>
        <w:autoSpaceDE/>
        <w:autoSpaceDN/>
        <w:bidi w:val="0"/>
        <w:adjustRightInd/>
        <w:snapToGrid/>
        <w:spacing w:line="560" w:lineRule="exact"/>
        <w:jc w:val="center"/>
        <w:textAlignment w:val="auto"/>
        <w:rPr>
          <w:b/>
          <w:sz w:val="32"/>
          <w:szCs w:val="30"/>
        </w:rPr>
      </w:pPr>
    </w:p>
    <w:p>
      <w:pPr>
        <w:keepNext w:val="0"/>
        <w:keepLines w:val="0"/>
        <w:pageBreakBefore w:val="0"/>
        <w:kinsoku/>
        <w:wordWrap/>
        <w:overflowPunct/>
        <w:topLinePunct w:val="0"/>
        <w:autoSpaceDE/>
        <w:autoSpaceDN/>
        <w:bidi w:val="0"/>
        <w:adjustRightInd/>
        <w:snapToGrid/>
        <w:spacing w:line="560" w:lineRule="exact"/>
        <w:jc w:val="center"/>
        <w:textAlignment w:val="auto"/>
        <w:rPr>
          <w:b/>
          <w:sz w:val="32"/>
          <w:szCs w:val="30"/>
        </w:rPr>
      </w:pP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Style w:val="8"/>
          <w:rFonts w:hint="eastAsia" w:ascii="仿宋_GB2312" w:hAnsi="仿宋_GB2312" w:eastAsia="仿宋_GB2312" w:cs="仿宋_GB2312"/>
          <w:b w:val="0"/>
          <w:sz w:val="32"/>
          <w:szCs w:val="32"/>
        </w:rPr>
      </w:pPr>
      <w:r>
        <w:rPr>
          <w:rFonts w:hint="eastAsia" w:ascii="仿宋_GB2312" w:hAnsi="仿宋_GB2312" w:eastAsia="仿宋_GB2312" w:cs="仿宋_GB2312"/>
          <w:sz w:val="32"/>
          <w:szCs w:val="32"/>
        </w:rPr>
        <w:t>《江苏省高校优秀青年思想政治理论课教师“领航·扬帆”计划培养人选</w:t>
      </w:r>
      <w:r>
        <w:rPr>
          <w:rStyle w:val="8"/>
          <w:rFonts w:hint="eastAsia" w:ascii="仿宋_GB2312" w:hAnsi="仿宋_GB2312" w:eastAsia="仿宋_GB2312" w:cs="仿宋_GB2312"/>
          <w:b w:val="0"/>
          <w:sz w:val="32"/>
          <w:szCs w:val="32"/>
        </w:rPr>
        <w:t>任务书</w:t>
      </w:r>
      <w:r>
        <w:rPr>
          <w:rFonts w:hint="eastAsia" w:ascii="仿宋_GB2312" w:hAnsi="仿宋_GB2312" w:eastAsia="仿宋_GB2312" w:cs="仿宋_GB2312"/>
          <w:sz w:val="32"/>
          <w:szCs w:val="32"/>
        </w:rPr>
        <w:t>》（以下简称《任务书》）</w:t>
      </w:r>
      <w:r>
        <w:rPr>
          <w:rStyle w:val="8"/>
          <w:rFonts w:hint="eastAsia" w:ascii="仿宋_GB2312" w:hAnsi="仿宋_GB2312" w:eastAsia="仿宋_GB2312" w:cs="仿宋_GB2312"/>
          <w:b w:val="0"/>
          <w:sz w:val="32"/>
          <w:szCs w:val="32"/>
        </w:rPr>
        <w:t>是培养人选依托“领航·扬帆”计划专项经费资助和所在学校支持保障，根据</w:t>
      </w:r>
      <w:r>
        <w:rPr>
          <w:rFonts w:hint="eastAsia" w:ascii="仿宋_GB2312" w:hAnsi="仿宋_GB2312" w:eastAsia="仿宋_GB2312" w:cs="仿宋_GB2312"/>
          <w:sz w:val="32"/>
          <w:szCs w:val="32"/>
        </w:rPr>
        <w:t>《江苏省高校优秀青年思想政治理论课教师“领航·扬帆”计划实施方案（试行）》</w:t>
      </w:r>
      <w:r>
        <w:rPr>
          <w:rStyle w:val="8"/>
          <w:rFonts w:hint="eastAsia" w:ascii="仿宋_GB2312" w:hAnsi="仿宋_GB2312" w:eastAsia="仿宋_GB2312" w:cs="仿宋_GB2312"/>
          <w:b w:val="0"/>
          <w:sz w:val="32"/>
          <w:szCs w:val="32"/>
        </w:rPr>
        <w:t>有关要求，在课程教学、理论研究、教学指导、理论宣讲等方面科学制定发展目标，并开展实际工作的依据，也是对培养人选进行中期考评和期满验收考核的重要依据。</w:t>
      </w:r>
      <w:bookmarkStart w:id="0" w:name="_GoBack"/>
      <w:bookmarkEnd w:id="0"/>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Style w:val="8"/>
          <w:rFonts w:hint="eastAsia" w:ascii="方正黑体_GBK" w:hAnsi="方正黑体_GBK" w:eastAsia="方正黑体_GBK" w:cs="方正黑体_GBK"/>
          <w:b w:val="0"/>
          <w:bCs w:val="0"/>
          <w:kern w:val="0"/>
          <w:sz w:val="32"/>
          <w:szCs w:val="32"/>
        </w:rPr>
      </w:pPr>
      <w:r>
        <w:rPr>
          <w:rStyle w:val="8"/>
          <w:rFonts w:hint="eastAsia" w:ascii="方正黑体_GBK" w:hAnsi="方正黑体_GBK" w:eastAsia="方正黑体_GBK" w:cs="方正黑体_GBK"/>
          <w:b w:val="0"/>
          <w:kern w:val="0"/>
          <w:sz w:val="32"/>
          <w:szCs w:val="32"/>
        </w:rPr>
        <w:t>一、主要任务</w:t>
      </w:r>
    </w:p>
    <w:p>
      <w:pPr>
        <w:keepNext w:val="0"/>
        <w:keepLines w:val="0"/>
        <w:pageBreakBefore w:val="0"/>
        <w:kinsoku/>
        <w:wordWrap/>
        <w:overflowPunct/>
        <w:topLinePunct w:val="0"/>
        <w:autoSpaceDE/>
        <w:autoSpaceDN/>
        <w:bidi w:val="0"/>
        <w:adjustRightInd/>
        <w:snapToGrid/>
        <w:spacing w:line="560" w:lineRule="exact"/>
        <w:ind w:firstLine="616"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bCs/>
          <w:color w:val="000000"/>
          <w:spacing w:val="-6"/>
          <w:kern w:val="0"/>
          <w:sz w:val="32"/>
          <w:szCs w:val="32"/>
        </w:rPr>
        <w:t>1.培养期内每学年至少承担1门本科生思想政治理论课教学，并且高质量完成相应教学任务，期末教学考评需达到“优秀”等次或评分90分以上。同时承担多门思想政治理论课教学的，期末教学考评至少一半以上课程达到“优秀”等次或评分90分以上。</w:t>
      </w:r>
    </w:p>
    <w:p>
      <w:pPr>
        <w:keepNext w:val="0"/>
        <w:keepLines w:val="0"/>
        <w:pageBreakBefore w:val="0"/>
        <w:kinsoku/>
        <w:wordWrap/>
        <w:overflowPunct/>
        <w:topLinePunct w:val="0"/>
        <w:autoSpaceDE/>
        <w:autoSpaceDN/>
        <w:bidi w:val="0"/>
        <w:adjustRightInd/>
        <w:snapToGrid/>
        <w:spacing w:line="560" w:lineRule="exact"/>
        <w:ind w:firstLine="646"/>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bCs/>
          <w:color w:val="000000"/>
          <w:spacing w:val="-6"/>
          <w:kern w:val="0"/>
          <w:sz w:val="32"/>
          <w:szCs w:val="32"/>
        </w:rPr>
        <w:t>2.培养期内每学期至少在除本校以外的省内高校讲授2次以上教学指导讲座课程，在校级及以上平台为思想政治理论课教师培训开设2次示范课程，面向学生或非思想政治理论课教师群体开展2次理论讲座。</w:t>
      </w:r>
    </w:p>
    <w:p>
      <w:pPr>
        <w:keepNext w:val="0"/>
        <w:keepLines w:val="0"/>
        <w:pageBreakBefore w:val="0"/>
        <w:kinsoku/>
        <w:wordWrap/>
        <w:overflowPunct/>
        <w:topLinePunct w:val="0"/>
        <w:autoSpaceDE/>
        <w:autoSpaceDN/>
        <w:bidi w:val="0"/>
        <w:adjustRightInd/>
        <w:snapToGrid/>
        <w:spacing w:line="560" w:lineRule="exact"/>
        <w:ind w:firstLine="646"/>
        <w:textAlignment w:val="auto"/>
        <w:rPr>
          <w:rFonts w:hint="eastAsia" w:ascii="仿宋_GB2312" w:hAnsi="仿宋_GB2312" w:eastAsia="仿宋_GB2312" w:cs="仿宋_GB2312"/>
          <w:bCs/>
          <w:color w:val="000000"/>
          <w:spacing w:val="-6"/>
          <w:kern w:val="0"/>
          <w:sz w:val="32"/>
          <w:szCs w:val="32"/>
          <w:u w:val="none"/>
        </w:rPr>
      </w:pPr>
      <w:r>
        <w:rPr>
          <w:rFonts w:hint="eastAsia" w:ascii="仿宋_GB2312" w:hAnsi="仿宋_GB2312" w:eastAsia="仿宋_GB2312" w:cs="仿宋_GB2312"/>
          <w:bCs/>
          <w:color w:val="000000"/>
          <w:spacing w:val="-6"/>
          <w:kern w:val="0"/>
          <w:sz w:val="32"/>
          <w:szCs w:val="32"/>
          <w:lang w:val="en-US" w:eastAsia="zh-CN"/>
        </w:rPr>
        <w:t>3</w:t>
      </w:r>
      <w:r>
        <w:rPr>
          <w:rFonts w:hint="eastAsia" w:ascii="仿宋_GB2312" w:hAnsi="仿宋_GB2312" w:eastAsia="仿宋_GB2312" w:cs="仿宋_GB2312"/>
          <w:bCs/>
          <w:color w:val="000000"/>
          <w:spacing w:val="-6"/>
          <w:kern w:val="0"/>
          <w:sz w:val="32"/>
          <w:szCs w:val="32"/>
          <w:lang w:val="en-US" w:eastAsia="zh-CN"/>
        </w:rPr>
        <w:t>.培养期内</w:t>
      </w:r>
      <w:r>
        <w:rPr>
          <w:rFonts w:hint="eastAsia" w:ascii="仿宋_GB2312" w:hAnsi="仿宋_GB2312" w:eastAsia="仿宋_GB2312" w:cs="仿宋_GB2312"/>
          <w:bCs/>
          <w:color w:val="000000"/>
          <w:spacing w:val="-6"/>
          <w:kern w:val="0"/>
          <w:sz w:val="32"/>
          <w:szCs w:val="32"/>
          <w:u w:val="none"/>
        </w:rPr>
        <w:t>每学期到民办高校开展集体备课、教学研讨、示范授课不少于10学时。</w:t>
      </w:r>
      <w:r>
        <w:rPr>
          <w:rFonts w:hint="eastAsia" w:ascii="仿宋_GB2312" w:hAnsi="仿宋_GB2312" w:eastAsia="仿宋_GB2312" w:cs="仿宋_GB2312"/>
          <w:bCs/>
          <w:color w:val="000000"/>
          <w:spacing w:val="-6"/>
          <w:kern w:val="0"/>
          <w:sz w:val="32"/>
          <w:szCs w:val="32"/>
          <w:u w:val="none"/>
          <w:lang w:val="en-US" w:eastAsia="zh-CN"/>
        </w:rPr>
        <w:t>积极参与全省高校思政课优质资源库建设，以最新版统编教材配套课件为依据，每学年围绕章节重点难点问题，录制示范课视频（不少于15分钟）至少1次，撰写示范教案（不少于8000字）至少1篇。</w:t>
      </w:r>
    </w:p>
    <w:p>
      <w:pPr>
        <w:keepNext w:val="0"/>
        <w:keepLines w:val="0"/>
        <w:pageBreakBefore w:val="0"/>
        <w:kinsoku/>
        <w:wordWrap/>
        <w:overflowPunct/>
        <w:topLinePunct w:val="0"/>
        <w:autoSpaceDE/>
        <w:autoSpaceDN/>
        <w:bidi w:val="0"/>
        <w:adjustRightInd/>
        <w:snapToGrid/>
        <w:spacing w:line="560" w:lineRule="exact"/>
        <w:ind w:firstLine="616"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bCs/>
          <w:color w:val="000000"/>
          <w:spacing w:val="-6"/>
          <w:kern w:val="0"/>
          <w:sz w:val="32"/>
          <w:szCs w:val="32"/>
          <w:lang w:val="en-US" w:eastAsia="zh-CN"/>
        </w:rPr>
        <w:t>4</w:t>
      </w:r>
      <w:r>
        <w:rPr>
          <w:rFonts w:hint="eastAsia" w:ascii="仿宋_GB2312" w:hAnsi="仿宋_GB2312" w:eastAsia="仿宋_GB2312" w:cs="仿宋_GB2312"/>
          <w:bCs/>
          <w:color w:val="000000"/>
          <w:spacing w:val="-6"/>
          <w:kern w:val="0"/>
          <w:sz w:val="32"/>
          <w:szCs w:val="32"/>
        </w:rPr>
        <w:t>.在思想政治理论课教学改革方面有创新探索，教学改革取得显著成效，形成有推广价值的成果。培养期内至少主持1项校级及以上教学（课程）改革项目，结项获评“良好”及以上等次。</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16"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bCs/>
          <w:color w:val="000000"/>
          <w:spacing w:val="-6"/>
          <w:kern w:val="0"/>
          <w:sz w:val="32"/>
          <w:szCs w:val="32"/>
          <w:lang w:val="en-US" w:eastAsia="zh-CN"/>
        </w:rPr>
        <w:t>5.</w:t>
      </w:r>
      <w:r>
        <w:rPr>
          <w:rFonts w:hint="eastAsia" w:ascii="仿宋_GB2312" w:hAnsi="仿宋_GB2312" w:eastAsia="仿宋_GB2312" w:cs="仿宋_GB2312"/>
          <w:bCs/>
          <w:color w:val="000000"/>
          <w:spacing w:val="-6"/>
          <w:kern w:val="0"/>
          <w:sz w:val="32"/>
          <w:szCs w:val="32"/>
        </w:rPr>
        <w:t>积极参与教学团队、学科团队建设，培养期内至少主持或深度参与1个校级及以上思想政治理论课教学团队，主持</w:t>
      </w:r>
      <w:r>
        <w:rPr>
          <w:rFonts w:hint="eastAsia" w:ascii="仿宋_GB2312" w:hAnsi="仿宋_GB2312" w:eastAsia="仿宋_GB2312" w:cs="仿宋_GB2312"/>
          <w:bCs/>
          <w:color w:val="000000"/>
          <w:spacing w:val="-6"/>
          <w:kern w:val="0"/>
          <w:sz w:val="32"/>
          <w:szCs w:val="32"/>
          <w:lang w:val="en-US" w:eastAsia="zh-CN"/>
        </w:rPr>
        <w:t>或深度</w:t>
      </w:r>
      <w:r>
        <w:rPr>
          <w:rFonts w:hint="eastAsia" w:ascii="仿宋_GB2312" w:hAnsi="仿宋_GB2312" w:eastAsia="仿宋_GB2312" w:cs="仿宋_GB2312"/>
          <w:bCs/>
          <w:color w:val="000000"/>
          <w:spacing w:val="-6"/>
          <w:kern w:val="0"/>
          <w:sz w:val="32"/>
          <w:szCs w:val="32"/>
        </w:rPr>
        <w:t>开发大中小学思政课一体化示范课</w:t>
      </w:r>
      <w:r>
        <w:rPr>
          <w:rFonts w:hint="eastAsia" w:ascii="仿宋_GB2312" w:hAnsi="仿宋_GB2312" w:eastAsia="仿宋_GB2312" w:cs="仿宋_GB2312"/>
          <w:bCs/>
          <w:color w:val="000000"/>
          <w:spacing w:val="-6"/>
          <w:kern w:val="0"/>
          <w:sz w:val="32"/>
          <w:szCs w:val="32"/>
          <w:lang w:val="en-US" w:eastAsia="zh-CN"/>
        </w:rPr>
        <w:t>1节</w:t>
      </w:r>
      <w:r>
        <w:rPr>
          <w:rFonts w:hint="eastAsia" w:ascii="仿宋_GB2312" w:hAnsi="仿宋_GB2312" w:eastAsia="仿宋_GB2312" w:cs="仿宋_GB2312"/>
          <w:bCs/>
          <w:color w:val="000000"/>
          <w:spacing w:val="-6"/>
          <w:kern w:val="0"/>
          <w:sz w:val="32"/>
          <w:szCs w:val="32"/>
        </w:rPr>
        <w:t>，获得校级及以上立项支持或表彰</w:t>
      </w:r>
      <w:r>
        <w:rPr>
          <w:rFonts w:hint="eastAsia" w:ascii="仿宋_GB2312" w:hAnsi="仿宋_GB2312" w:eastAsia="仿宋_GB2312" w:cs="仿宋_GB2312"/>
          <w:bCs/>
          <w:spacing w:val="-6"/>
          <w:kern w:val="0"/>
          <w:sz w:val="32"/>
          <w:szCs w:val="32"/>
        </w:rPr>
        <w:t>（校级团队须排名前二，省级团队须排名前四，国家级团队须排名前六）</w:t>
      </w:r>
      <w:r>
        <w:rPr>
          <w:rFonts w:hint="eastAsia" w:ascii="仿宋_GB2312" w:hAnsi="仿宋_GB2312" w:eastAsia="仿宋_GB2312" w:cs="仿宋_GB2312"/>
          <w:bCs/>
          <w:color w:val="000000"/>
          <w:spacing w:val="-6"/>
          <w:kern w:val="0"/>
          <w:sz w:val="32"/>
          <w:szCs w:val="32"/>
        </w:rPr>
        <w:t>。</w:t>
      </w:r>
    </w:p>
    <w:p>
      <w:pPr>
        <w:keepNext w:val="0"/>
        <w:keepLines w:val="0"/>
        <w:pageBreakBefore w:val="0"/>
        <w:kinsoku/>
        <w:wordWrap/>
        <w:overflowPunct/>
        <w:topLinePunct w:val="0"/>
        <w:autoSpaceDE/>
        <w:autoSpaceDN/>
        <w:bidi w:val="0"/>
        <w:adjustRightInd/>
        <w:snapToGrid/>
        <w:spacing w:line="560" w:lineRule="exact"/>
        <w:ind w:firstLine="616"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bCs/>
          <w:color w:val="000000"/>
          <w:spacing w:val="-6"/>
          <w:kern w:val="0"/>
          <w:sz w:val="32"/>
          <w:szCs w:val="32"/>
          <w:lang w:val="en-US" w:eastAsia="zh-CN"/>
        </w:rPr>
        <w:t>6</w:t>
      </w:r>
      <w:r>
        <w:rPr>
          <w:rFonts w:hint="eastAsia" w:ascii="仿宋_GB2312" w:hAnsi="仿宋_GB2312" w:eastAsia="仿宋_GB2312" w:cs="仿宋_GB2312"/>
          <w:bCs/>
          <w:color w:val="000000"/>
          <w:spacing w:val="-6"/>
          <w:kern w:val="0"/>
          <w:sz w:val="32"/>
          <w:szCs w:val="32"/>
        </w:rPr>
        <w:t>.培养期内须在同行公认的高级别学术期刊或省级以上主流报刊发表具有创新性、引领性的马克思主义理论或思想政治教育类学术论文，并主持省部级及以上哲学社会科学研究项目。</w:t>
      </w:r>
    </w:p>
    <w:p>
      <w:pPr>
        <w:keepNext w:val="0"/>
        <w:keepLines w:val="0"/>
        <w:pageBreakBefore w:val="0"/>
        <w:kinsoku/>
        <w:wordWrap/>
        <w:overflowPunct/>
        <w:topLinePunct w:val="0"/>
        <w:autoSpaceDE/>
        <w:autoSpaceDN/>
        <w:bidi w:val="0"/>
        <w:adjustRightInd/>
        <w:snapToGrid/>
        <w:spacing w:line="560" w:lineRule="exact"/>
        <w:ind w:firstLine="616"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bCs/>
          <w:color w:val="000000"/>
          <w:spacing w:val="-6"/>
          <w:kern w:val="0"/>
          <w:sz w:val="32"/>
          <w:szCs w:val="32"/>
          <w:lang w:val="en-US" w:eastAsia="zh-CN"/>
        </w:rPr>
        <w:t>7</w:t>
      </w:r>
      <w:r>
        <w:rPr>
          <w:rFonts w:hint="eastAsia" w:ascii="仿宋_GB2312" w:hAnsi="仿宋_GB2312" w:eastAsia="仿宋_GB2312" w:cs="仿宋_GB2312"/>
          <w:bCs/>
          <w:color w:val="000000"/>
          <w:spacing w:val="-6"/>
          <w:kern w:val="0"/>
          <w:sz w:val="32"/>
          <w:szCs w:val="32"/>
        </w:rPr>
        <w:t>.积极组织承办“领航·扬帆”年度学术研讨会。培养期内每学期至少参与1次学术会议，并在会议上做主报告或分组报告。</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8</w:t>
      </w:r>
      <w:r>
        <w:rPr>
          <w:rFonts w:hint="eastAsia" w:ascii="仿宋_GB2312" w:hAnsi="仿宋_GB2312" w:eastAsia="仿宋_GB2312" w:cs="仿宋_GB2312"/>
          <w:kern w:val="0"/>
          <w:sz w:val="32"/>
          <w:szCs w:val="32"/>
        </w:rPr>
        <w:t>.</w:t>
      </w:r>
      <w:r>
        <w:rPr>
          <w:rFonts w:hint="eastAsia" w:ascii="仿宋_GB2312" w:hAnsi="仿宋_GB2312" w:eastAsia="仿宋_GB2312" w:cs="仿宋_GB2312"/>
          <w:bCs/>
          <w:color w:val="000000"/>
          <w:spacing w:val="-6"/>
          <w:kern w:val="0"/>
          <w:sz w:val="32"/>
          <w:szCs w:val="32"/>
        </w:rPr>
        <w:t>多形式参加新时代党的创新理论宣讲工作。</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kern w:val="0"/>
          <w:sz w:val="32"/>
          <w:szCs w:val="32"/>
          <w:lang w:val="en-US" w:eastAsia="zh-CN"/>
        </w:rPr>
        <w:t>9</w:t>
      </w:r>
      <w:r>
        <w:rPr>
          <w:rFonts w:hint="eastAsia" w:ascii="仿宋_GB2312" w:hAnsi="仿宋_GB2312" w:eastAsia="仿宋_GB2312" w:cs="仿宋_GB2312"/>
          <w:kern w:val="0"/>
          <w:sz w:val="32"/>
          <w:szCs w:val="32"/>
        </w:rPr>
        <w:t>.</w:t>
      </w:r>
      <w:r>
        <w:rPr>
          <w:rFonts w:hint="eastAsia" w:ascii="仿宋_GB2312" w:hAnsi="仿宋_GB2312" w:eastAsia="仿宋_GB2312" w:cs="仿宋_GB2312"/>
          <w:bCs/>
          <w:color w:val="000000"/>
          <w:spacing w:val="-6"/>
          <w:kern w:val="0"/>
          <w:sz w:val="32"/>
          <w:szCs w:val="32"/>
        </w:rPr>
        <w:t>有下列情形之一者，取消培养资格、停止经费资助并视情追回前期资助款项：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kern w:val="0"/>
          <w:sz w:val="32"/>
          <w:szCs w:val="32"/>
        </w:rPr>
        <w:t>（1）</w:t>
      </w:r>
      <w:r>
        <w:rPr>
          <w:rFonts w:hint="eastAsia" w:ascii="仿宋_GB2312" w:hAnsi="仿宋_GB2312" w:eastAsia="仿宋_GB2312" w:cs="仿宋_GB2312"/>
          <w:bCs/>
          <w:color w:val="000000"/>
          <w:spacing w:val="-6"/>
          <w:kern w:val="0"/>
          <w:sz w:val="32"/>
          <w:szCs w:val="32"/>
        </w:rPr>
        <w:t>培养人选期末教学考评不合格；</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kern w:val="0"/>
          <w:sz w:val="32"/>
          <w:szCs w:val="32"/>
        </w:rPr>
        <w:t>（2）</w:t>
      </w:r>
      <w:r>
        <w:rPr>
          <w:rFonts w:hint="eastAsia" w:ascii="仿宋_GB2312" w:hAnsi="仿宋_GB2312" w:eastAsia="仿宋_GB2312" w:cs="仿宋_GB2312"/>
          <w:bCs/>
          <w:color w:val="000000"/>
          <w:spacing w:val="-6"/>
          <w:kern w:val="0"/>
          <w:sz w:val="32"/>
          <w:szCs w:val="32"/>
        </w:rPr>
        <w:t>培养人选本计划中期考评不合格；</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kern w:val="0"/>
          <w:sz w:val="32"/>
          <w:szCs w:val="32"/>
        </w:rPr>
        <w:t>（3）</w:t>
      </w:r>
      <w:r>
        <w:rPr>
          <w:rFonts w:hint="eastAsia" w:ascii="仿宋_GB2312" w:hAnsi="仿宋_GB2312" w:eastAsia="仿宋_GB2312" w:cs="仿宋_GB2312"/>
          <w:bCs/>
          <w:color w:val="000000"/>
          <w:spacing w:val="-6"/>
          <w:kern w:val="0"/>
          <w:sz w:val="32"/>
          <w:szCs w:val="32"/>
        </w:rPr>
        <w:t>培养人选离开省内高校；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kern w:val="0"/>
          <w:sz w:val="32"/>
          <w:szCs w:val="32"/>
        </w:rPr>
        <w:t>（4）</w:t>
      </w:r>
      <w:r>
        <w:rPr>
          <w:rFonts w:hint="eastAsia" w:ascii="仿宋_GB2312" w:hAnsi="仿宋_GB2312" w:eastAsia="仿宋_GB2312" w:cs="仿宋_GB2312"/>
          <w:bCs/>
          <w:color w:val="000000"/>
          <w:spacing w:val="-6"/>
          <w:kern w:val="0"/>
          <w:sz w:val="32"/>
          <w:szCs w:val="32"/>
        </w:rPr>
        <w:t>经查实，存在学术不端、师德师风或党风廉政等方面的问题；</w:t>
      </w:r>
    </w:p>
    <w:p>
      <w:pPr>
        <w:keepNext w:val="0"/>
        <w:keepLines w:val="0"/>
        <w:pageBreakBefore w:val="0"/>
        <w:tabs>
          <w:tab w:val="left" w:pos="1470"/>
        </w:tabs>
        <w:kinsoku/>
        <w:wordWrap/>
        <w:overflowPunct/>
        <w:topLinePunct w:val="0"/>
        <w:autoSpaceDE/>
        <w:autoSpaceDN/>
        <w:bidi w:val="0"/>
        <w:adjustRightInd/>
        <w:snapToGrid/>
        <w:spacing w:line="560" w:lineRule="exact"/>
        <w:ind w:firstLine="616"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bCs/>
          <w:color w:val="000000"/>
          <w:spacing w:val="-6"/>
          <w:kern w:val="0"/>
          <w:sz w:val="32"/>
          <w:szCs w:val="32"/>
        </w:rPr>
        <w:t>（5）其他严重影响本计划实施的情况。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Style w:val="8"/>
          <w:rFonts w:hint="eastAsia" w:ascii="方正黑体_GBK" w:hAnsi="方正黑体_GBK" w:eastAsia="方正黑体_GBK" w:cs="方正黑体_GBK"/>
          <w:b w:val="0"/>
          <w:bCs w:val="0"/>
          <w:kern w:val="0"/>
          <w:sz w:val="32"/>
          <w:szCs w:val="32"/>
        </w:rPr>
      </w:pPr>
      <w:r>
        <w:rPr>
          <w:rStyle w:val="8"/>
          <w:rFonts w:hint="eastAsia" w:ascii="方正黑体_GBK" w:hAnsi="方正黑体_GBK" w:eastAsia="方正黑体_GBK" w:cs="方正黑体_GBK"/>
          <w:b w:val="0"/>
          <w:bCs w:val="0"/>
          <w:kern w:val="0"/>
          <w:sz w:val="32"/>
          <w:szCs w:val="32"/>
        </w:rPr>
        <w:t>二、考核办法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sz w:val="32"/>
        </w:rPr>
        <w:t>1.</w:t>
      </w:r>
      <w:r>
        <w:rPr>
          <w:rFonts w:hint="eastAsia" w:ascii="仿宋_GB2312" w:hAnsi="仿宋_GB2312" w:eastAsia="仿宋_GB2312" w:cs="仿宋_GB2312"/>
          <w:bCs/>
          <w:color w:val="000000"/>
          <w:spacing w:val="-6"/>
          <w:kern w:val="0"/>
          <w:sz w:val="32"/>
          <w:szCs w:val="32"/>
        </w:rPr>
        <w:t>培养期内培养人选每年1月31日前向省教育厅社政处和所在高校马</w:t>
      </w:r>
      <w:r>
        <w:rPr>
          <w:rFonts w:hint="eastAsia" w:ascii="仿宋_GB2312" w:hAnsi="仿宋_GB2312" w:eastAsia="仿宋_GB2312" w:cs="仿宋_GB2312"/>
          <w:bCs/>
          <w:color w:val="000000"/>
          <w:spacing w:val="-6"/>
          <w:kern w:val="0"/>
          <w:sz w:val="32"/>
          <w:szCs w:val="32"/>
          <w:u w:val="none"/>
        </w:rPr>
        <w:t>克思主义学院提交不少于2000字的上一年度工作进展情况报告</w:t>
      </w:r>
      <w:r>
        <w:rPr>
          <w:rFonts w:hint="eastAsia" w:ascii="仿宋_GB2312" w:hAnsi="仿宋_GB2312" w:eastAsia="仿宋_GB2312" w:cs="仿宋_GB2312"/>
          <w:bCs/>
          <w:color w:val="000000"/>
          <w:spacing w:val="-6"/>
          <w:kern w:val="0"/>
          <w:sz w:val="32"/>
          <w:szCs w:val="32"/>
          <w:u w:val="none"/>
          <w:lang w:val="en-US" w:eastAsia="zh-CN"/>
        </w:rPr>
        <w:t>和优质课程资源建设成果</w:t>
      </w:r>
      <w:r>
        <w:rPr>
          <w:rFonts w:hint="eastAsia" w:ascii="仿宋_GB2312" w:hAnsi="仿宋_GB2312" w:eastAsia="仿宋_GB2312" w:cs="仿宋_GB2312"/>
          <w:bCs/>
          <w:color w:val="000000"/>
          <w:spacing w:val="-6"/>
          <w:kern w:val="0"/>
          <w:sz w:val="32"/>
          <w:szCs w:val="32"/>
          <w:u w:val="none"/>
        </w:rPr>
        <w:t>（报送文件命名格式</w:t>
      </w:r>
      <w:r>
        <w:rPr>
          <w:rFonts w:hint="eastAsia" w:ascii="仿宋_GB2312" w:hAnsi="仿宋_GB2312" w:eastAsia="仿宋_GB2312" w:cs="仿宋_GB2312"/>
          <w:bCs/>
          <w:color w:val="000000"/>
          <w:spacing w:val="-6"/>
          <w:kern w:val="0"/>
          <w:sz w:val="32"/>
          <w:szCs w:val="32"/>
        </w:rPr>
        <w:t>：2024“领航·扬帆”+姓名+年度报告</w:t>
      </w:r>
      <w:r>
        <w:rPr>
          <w:rFonts w:hint="eastAsia" w:ascii="仿宋_GB2312" w:hAnsi="仿宋_GB2312" w:eastAsia="仿宋_GB2312" w:cs="仿宋_GB2312"/>
          <w:bCs/>
          <w:color w:val="000000"/>
          <w:spacing w:val="-6"/>
          <w:kern w:val="0"/>
          <w:sz w:val="32"/>
          <w:szCs w:val="32"/>
          <w:lang w:val="en-US" w:eastAsia="zh-CN"/>
        </w:rPr>
        <w:t>&lt;教学资源&gt;</w:t>
      </w:r>
      <w:r>
        <w:rPr>
          <w:rFonts w:hint="eastAsia" w:ascii="仿宋_GB2312" w:hAnsi="仿宋_GB2312" w:eastAsia="仿宋_GB2312" w:cs="仿宋_GB2312"/>
          <w:bCs/>
          <w:color w:val="000000"/>
          <w:spacing w:val="-6"/>
          <w:kern w:val="0"/>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000000"/>
          <w:spacing w:val="-6"/>
          <w:kern w:val="0"/>
          <w:sz w:val="32"/>
          <w:szCs w:val="32"/>
        </w:rPr>
      </w:pPr>
      <w:r>
        <w:rPr>
          <w:rFonts w:hint="eastAsia" w:ascii="仿宋_GB2312" w:hAnsi="仿宋_GB2312" w:eastAsia="仿宋_GB2312" w:cs="仿宋_GB2312"/>
          <w:sz w:val="32"/>
        </w:rPr>
        <w:t>2.</w:t>
      </w:r>
      <w:r>
        <w:rPr>
          <w:rFonts w:hint="eastAsia" w:ascii="仿宋_GB2312" w:hAnsi="仿宋_GB2312" w:eastAsia="仿宋_GB2312" w:cs="仿宋_GB2312"/>
          <w:bCs/>
          <w:color w:val="000000"/>
          <w:spacing w:val="-6"/>
          <w:kern w:val="0"/>
          <w:sz w:val="32"/>
          <w:szCs w:val="32"/>
        </w:rPr>
        <w:t>省教育厅组织对培养人选培养情况进行中期考评和期满验收考核。</w:t>
      </w: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3.中期考评和期满验收考核结果为优秀等次者，优先推荐省级及以上重点人才项目申报。</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Style w:val="8"/>
          <w:rFonts w:hint="eastAsia" w:ascii="方正黑体_GBK" w:hAnsi="方正黑体_GBK" w:eastAsia="方正黑体_GBK" w:cs="方正黑体_GBK"/>
          <w:b w:val="0"/>
          <w:bCs w:val="0"/>
          <w:kern w:val="0"/>
          <w:sz w:val="32"/>
          <w:szCs w:val="32"/>
        </w:rPr>
      </w:pPr>
      <w:r>
        <w:rPr>
          <w:rStyle w:val="8"/>
          <w:rFonts w:hint="eastAsia" w:ascii="方正黑体_GBK" w:hAnsi="方正黑体_GBK" w:eastAsia="方正黑体_GBK" w:cs="方正黑体_GBK"/>
          <w:b w:val="0"/>
          <w:bCs w:val="0"/>
          <w:kern w:val="0"/>
          <w:sz w:val="32"/>
          <w:szCs w:val="32"/>
        </w:rPr>
        <w:t>三、培养周期</w:t>
      </w: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2024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2028</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w:t>
      </w: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ascii="Times New Roman" w:hAnsi="Times New Roman" w:eastAsia="仿宋" w:cs="Times New Roman"/>
          <w:sz w:val="32"/>
          <w:szCs w:val="32"/>
        </w:rPr>
      </w:pP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2" w:firstLineChars="200"/>
        <w:textAlignment w:val="auto"/>
        <w:rPr>
          <w:rFonts w:ascii="Times New Roman" w:hAnsi="Times New Roman" w:eastAsia="楷体" w:cs="Times New Roman"/>
          <w:b/>
          <w:sz w:val="32"/>
          <w:szCs w:val="32"/>
        </w:rPr>
      </w:pPr>
      <w:r>
        <w:rPr>
          <w:rFonts w:ascii="Times New Roman" w:hAnsi="Times New Roman" w:eastAsia="楷体" w:cs="Times New Roman"/>
          <w:b/>
          <w:sz w:val="32"/>
          <w:szCs w:val="32"/>
        </w:rPr>
        <w:t>培养人选（签字）：</w:t>
      </w: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2" w:firstLineChars="200"/>
        <w:textAlignment w:val="auto"/>
        <w:rPr>
          <w:rFonts w:ascii="Times New Roman" w:hAnsi="Times New Roman" w:eastAsia="楷体" w:cs="Times New Roman"/>
          <w:b/>
          <w:sz w:val="32"/>
          <w:szCs w:val="32"/>
        </w:rPr>
      </w:pP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4320" w:firstLineChars="1350"/>
        <w:textAlignment w:val="auto"/>
        <w:rPr>
          <w:rFonts w:ascii="Times New Roman" w:hAnsi="Times New Roman" w:eastAsia="楷体" w:cs="Times New Roman"/>
          <w:sz w:val="32"/>
          <w:szCs w:val="32"/>
        </w:rPr>
      </w:pPr>
      <w:r>
        <w:rPr>
          <w:rFonts w:ascii="Times New Roman" w:hAnsi="Times New Roman" w:eastAsia="楷体" w:cs="Times New Roman"/>
          <w:sz w:val="32"/>
          <w:szCs w:val="32"/>
        </w:rPr>
        <w:t>年   月   日</w:t>
      </w: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4320" w:firstLineChars="1350"/>
        <w:textAlignment w:val="auto"/>
        <w:rPr>
          <w:rFonts w:ascii="Times New Roman" w:hAnsi="Times New Roman" w:eastAsia="楷体" w:cs="Times New Roman"/>
          <w:sz w:val="32"/>
          <w:szCs w:val="32"/>
        </w:rPr>
      </w:pP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2" w:firstLineChars="200"/>
        <w:textAlignment w:val="auto"/>
        <w:rPr>
          <w:rFonts w:ascii="Times New Roman" w:hAnsi="Times New Roman" w:eastAsia="楷体" w:cs="Times New Roman"/>
          <w:b/>
          <w:sz w:val="32"/>
          <w:szCs w:val="32"/>
        </w:rPr>
      </w:pPr>
      <w:r>
        <w:rPr>
          <w:rFonts w:ascii="Times New Roman" w:hAnsi="Times New Roman" w:eastAsia="楷体" w:cs="Times New Roman"/>
          <w:b/>
          <w:sz w:val="32"/>
          <w:szCs w:val="32"/>
        </w:rPr>
        <w:t>培养人选所在高校</w:t>
      </w:r>
      <w:r>
        <w:rPr>
          <w:rFonts w:hint="eastAsia" w:ascii="Times New Roman" w:hAnsi="Times New Roman" w:eastAsia="楷体" w:cs="Times New Roman"/>
          <w:b/>
          <w:sz w:val="32"/>
          <w:szCs w:val="32"/>
          <w:lang w:val="en-US" w:eastAsia="zh-CN"/>
        </w:rPr>
        <w:t>分管</w:t>
      </w:r>
      <w:r>
        <w:rPr>
          <w:rFonts w:ascii="Times New Roman" w:hAnsi="Times New Roman" w:eastAsia="楷体" w:cs="Times New Roman"/>
          <w:b/>
          <w:sz w:val="32"/>
          <w:szCs w:val="32"/>
        </w:rPr>
        <w:t xml:space="preserve">领导签字： </w:t>
      </w: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2" w:firstLineChars="200"/>
        <w:textAlignment w:val="auto"/>
        <w:rPr>
          <w:rFonts w:ascii="Times New Roman" w:hAnsi="Times New Roman" w:eastAsia="楷体" w:cs="Times New Roman"/>
          <w:b/>
          <w:sz w:val="32"/>
          <w:szCs w:val="32"/>
        </w:rPr>
      </w:pP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2" w:firstLineChars="200"/>
        <w:textAlignment w:val="auto"/>
        <w:rPr>
          <w:rFonts w:ascii="Times New Roman" w:hAnsi="Times New Roman" w:eastAsia="楷体" w:cs="Times New Roman"/>
          <w:b/>
          <w:sz w:val="32"/>
          <w:szCs w:val="32"/>
        </w:rPr>
      </w:pPr>
      <w:r>
        <w:rPr>
          <w:rFonts w:ascii="Times New Roman" w:hAnsi="Times New Roman" w:eastAsia="楷体" w:cs="Times New Roman"/>
          <w:b/>
          <w:sz w:val="32"/>
          <w:szCs w:val="32"/>
        </w:rPr>
        <w:t xml:space="preserve">                单位公章： </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eastAsia="仿宋"/>
          <w:b/>
          <w:sz w:val="32"/>
          <w:szCs w:val="32"/>
        </w:rPr>
      </w:pPr>
    </w:p>
    <w:p>
      <w:pPr>
        <w:pStyle w:val="5"/>
        <w:spacing w:line="560" w:lineRule="exact"/>
        <w:ind w:firstLine="4320" w:firstLineChars="1350"/>
        <w:rPr>
          <w:rFonts w:eastAsia="仿宋"/>
          <w:b/>
          <w:sz w:val="32"/>
          <w:szCs w:val="32"/>
        </w:rPr>
      </w:pPr>
      <w:r>
        <w:rPr>
          <w:rFonts w:ascii="Times New Roman" w:hAnsi="Times New Roman" w:eastAsia="楷体" w:cs="Times New Roman"/>
          <w:sz w:val="32"/>
          <w:szCs w:val="32"/>
        </w:rPr>
        <w:t xml:space="preserve">年   月   日 </w:t>
      </w: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2" w:firstLineChars="200"/>
        <w:textAlignment w:val="auto"/>
        <w:rPr>
          <w:rFonts w:ascii="Times New Roman" w:hAnsi="Times New Roman" w:eastAsia="楷体" w:cs="Times New Roman"/>
          <w:b/>
          <w:sz w:val="32"/>
          <w:szCs w:val="32"/>
        </w:rPr>
      </w:pPr>
      <w:r>
        <w:rPr>
          <w:rFonts w:ascii="Times New Roman" w:hAnsi="Times New Roman" w:eastAsia="楷体" w:cs="Times New Roman"/>
          <w:b/>
          <w:sz w:val="32"/>
          <w:szCs w:val="32"/>
        </w:rPr>
        <w:t xml:space="preserve">省教育厅（盖章）： </w:t>
      </w:r>
    </w:p>
    <w:p>
      <w:pPr>
        <w:keepNext w:val="0"/>
        <w:keepLines w:val="0"/>
        <w:pageBreakBefore w:val="0"/>
        <w:kinsoku/>
        <w:wordWrap/>
        <w:overflowPunct/>
        <w:topLinePunct w:val="0"/>
        <w:autoSpaceDE/>
        <w:autoSpaceDN/>
        <w:bidi w:val="0"/>
        <w:adjustRightInd/>
        <w:snapToGrid/>
        <w:spacing w:line="560" w:lineRule="exact"/>
        <w:textAlignment w:val="auto"/>
        <w:rPr>
          <w:rFonts w:eastAsia="仿宋"/>
          <w:sz w:val="32"/>
          <w:szCs w:val="32"/>
        </w:rPr>
      </w:pPr>
    </w:p>
    <w:p>
      <w:pPr>
        <w:pStyle w:val="5"/>
        <w:spacing w:line="560" w:lineRule="exact"/>
        <w:ind w:firstLine="4320" w:firstLineChars="1350"/>
        <w:rPr>
          <w:rFonts w:eastAsia="黑体"/>
          <w:sz w:val="32"/>
          <w:szCs w:val="32"/>
        </w:rPr>
      </w:pPr>
      <w:r>
        <w:rPr>
          <w:rFonts w:ascii="Times New Roman" w:hAnsi="Times New Roman" w:eastAsia="楷体" w:cs="Times New Roman"/>
          <w:sz w:val="32"/>
          <w:szCs w:val="32"/>
        </w:rPr>
        <w:t xml:space="preserve">年   月   日 </w:t>
      </w:r>
    </w:p>
    <w:sectPr>
      <w:footerReference r:id="rId3" w:type="default"/>
      <w:footerReference r:id="rId4" w:type="even"/>
      <w:pgSz w:w="11906" w:h="16838"/>
      <w:pgMar w:top="2098" w:right="1531" w:bottom="1701" w:left="1531" w:header="851" w:footer="113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华文中宋">
    <w:panose1 w:val="02010600040101010101"/>
    <w:charset w:val="86"/>
    <w:family w:val="auto"/>
    <w:pitch w:val="default"/>
    <w:sig w:usb0="00000287" w:usb1="080F0000" w:usb2="00000000" w:usb3="00000000" w:csb0="0004009F" w:csb1="DFD70000"/>
  </w:font>
  <w:font w:name="仿宋">
    <w:altName w:val="微软雅黑"/>
    <w:panose1 w:val="02010609060101010101"/>
    <w:charset w:val="00"/>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altName w:val="方正楷体_GBK"/>
    <w:panose1 w:val="02010609060101010101"/>
    <w:charset w:val="00"/>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Cambria">
    <w:altName w:val="汉仪仿宋S"/>
    <w:panose1 w:val="00000000000000000000"/>
    <w:charset w:val="00"/>
    <w:family w:val="auto"/>
    <w:pitch w:val="default"/>
    <w:sig w:usb0="00000000" w:usb1="00000000" w:usb2="00000000" w:usb3="00000000" w:csb0="00000000" w:csb1="00000000"/>
  </w:font>
  <w:font w:name="汉仪仿宋S">
    <w:panose1 w:val="00020600040101000101"/>
    <w:charset w:val="86"/>
    <w:family w:val="auto"/>
    <w:pitch w:val="default"/>
    <w:sig w:usb0="A00002BF" w:usb1="38CF7CFA" w:usb2="00000016" w:usb3="00000000" w:csb0="0004009F" w:csb1="00000000"/>
  </w:font>
  <w:font w:name="方正宋体S-超大字符集">
    <w:panose1 w:val="02000000000000000000"/>
    <w:charset w:val="86"/>
    <w:family w:val="auto"/>
    <w:pitch w:val="default"/>
    <w:sig w:usb0="00000001" w:usb1="0800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中倩简体">
    <w:panose1 w:val="03000509000000000000"/>
    <w:charset w:val="86"/>
    <w:family w:val="auto"/>
    <w:pitch w:val="default"/>
    <w:sig w:usb0="00000001" w:usb1="080E0000" w:usb2="00000000" w:usb3="00000000" w:csb0="00040000" w:csb1="00000000"/>
  </w:font>
  <w:font w:name="方正仿宋繁体">
    <w:panose1 w:val="03000509000000000000"/>
    <w:charset w:val="86"/>
    <w:family w:val="auto"/>
    <w:pitch w:val="default"/>
    <w:sig w:usb0="00000001" w:usb1="080E0000" w:usb2="00000000" w:usb3="00000000" w:csb0="00040000" w:csb1="00000000"/>
  </w:font>
  <w:font w:name="方正卡通简体">
    <w:panose1 w:val="03000509000000000000"/>
    <w:charset w:val="86"/>
    <w:family w:val="auto"/>
    <w:pitch w:val="default"/>
    <w:sig w:usb0="00000001" w:usb1="080E0000" w:usb2="00000000" w:usb3="00000000" w:csb0="00040000" w:csb1="00000000"/>
  </w:font>
  <w:font w:name="方正隶书_GBK">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华文新魏">
    <w:panose1 w:val="02010800040101010101"/>
    <w:charset w:val="86"/>
    <w:family w:val="auto"/>
    <w:pitch w:val="default"/>
    <w:sig w:usb0="00000001" w:usb1="080F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黑体繁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华文隶书">
    <w:panose1 w:val="02010800040101010101"/>
    <w:charset w:val="86"/>
    <w:family w:val="auto"/>
    <w:pitch w:val="default"/>
    <w:sig w:usb0="00000001" w:usb1="080F0000" w:usb2="00000000" w:usb3="00000000" w:csb0="00040000" w:csb1="00000000"/>
  </w:font>
  <w:font w:name="方正华隶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ind w:left="420" w:leftChars="200" w:right="420" w:rightChars="200"/>
      <w:rPr>
        <w:rStyle w:val="9"/>
        <w:rFonts w:hint="eastAsia" w:ascii="宋体" w:hAnsi="宋体"/>
        <w:sz w:val="28"/>
        <w:szCs w:val="28"/>
      </w:rPr>
    </w:pPr>
    <w:r>
      <w:rPr>
        <w:rStyle w:val="9"/>
        <w:rFonts w:hint="eastAsia" w:ascii="宋体" w:hAnsi="宋体"/>
        <w:sz w:val="28"/>
        <w:szCs w:val="28"/>
      </w:rPr>
      <w:t>—</w:t>
    </w:r>
    <w:r>
      <w:rPr>
        <w:rStyle w:val="9"/>
        <w:rFonts w:ascii="宋体" w:hAnsi="宋体"/>
        <w:sz w:val="28"/>
        <w:szCs w:val="28"/>
      </w:rPr>
      <w:fldChar w:fldCharType="begin"/>
    </w:r>
    <w:r>
      <w:rPr>
        <w:rStyle w:val="9"/>
        <w:rFonts w:ascii="宋体" w:hAnsi="宋体"/>
        <w:sz w:val="28"/>
        <w:szCs w:val="28"/>
      </w:rPr>
      <w:instrText xml:space="preserve">PAGE  </w:instrText>
    </w:r>
    <w:r>
      <w:rPr>
        <w:rStyle w:val="9"/>
        <w:rFonts w:ascii="宋体" w:hAnsi="宋体"/>
        <w:sz w:val="28"/>
        <w:szCs w:val="28"/>
      </w:rPr>
      <w:fldChar w:fldCharType="separate"/>
    </w:r>
    <w:r>
      <w:rPr>
        <w:rStyle w:val="9"/>
        <w:rFonts w:ascii="宋体" w:hAnsi="宋体"/>
        <w:sz w:val="28"/>
        <w:szCs w:val="28"/>
        <w:lang/>
      </w:rPr>
      <w:t>2</w:t>
    </w:r>
    <w:r>
      <w:rPr>
        <w:rStyle w:val="9"/>
        <w:rFonts w:ascii="宋体" w:hAnsi="宋体"/>
        <w:sz w:val="28"/>
        <w:szCs w:val="28"/>
      </w:rPr>
      <w:fldChar w:fldCharType="end"/>
    </w:r>
    <w:r>
      <w:rPr>
        <w:rStyle w:val="9"/>
        <w:rFonts w:hint="eastAsia" w:ascii="宋体" w:hAnsi="宋体"/>
        <w:sz w:val="28"/>
        <w:szCs w:val="28"/>
      </w:rPr>
      <w:t>—</w:t>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9"/>
      </w:rPr>
    </w:pPr>
    <w:r>
      <w:rPr>
        <w:rStyle w:val="9"/>
      </w:rPr>
      <w:fldChar w:fldCharType="begin"/>
    </w:r>
    <w:r>
      <w:rPr>
        <w:rStyle w:val="9"/>
      </w:rPr>
      <w:instrText xml:space="preserve">PAGE  </w:instrText>
    </w:r>
    <w:r>
      <w:rPr>
        <w:rStyle w:val="9"/>
      </w:rP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MyZTg4ODcwNjcyNjEzMmExNTdmNDMwN2IyNGZmZTIifQ=="/>
  </w:docVars>
  <w:rsids>
    <w:rsidRoot w:val="00665C1B"/>
    <w:rsid w:val="00012F74"/>
    <w:rsid w:val="00025567"/>
    <w:rsid w:val="0004303F"/>
    <w:rsid w:val="00087345"/>
    <w:rsid w:val="000C1B93"/>
    <w:rsid w:val="000D33EB"/>
    <w:rsid w:val="000D49A8"/>
    <w:rsid w:val="00192DB7"/>
    <w:rsid w:val="001B7737"/>
    <w:rsid w:val="001E386E"/>
    <w:rsid w:val="002236ED"/>
    <w:rsid w:val="00230E82"/>
    <w:rsid w:val="00235010"/>
    <w:rsid w:val="00272738"/>
    <w:rsid w:val="002B4D4F"/>
    <w:rsid w:val="002D0C05"/>
    <w:rsid w:val="002F2A0F"/>
    <w:rsid w:val="00315D71"/>
    <w:rsid w:val="00317E64"/>
    <w:rsid w:val="00364A44"/>
    <w:rsid w:val="00366523"/>
    <w:rsid w:val="00396504"/>
    <w:rsid w:val="003A21B8"/>
    <w:rsid w:val="00460AAC"/>
    <w:rsid w:val="00486A78"/>
    <w:rsid w:val="004A25E2"/>
    <w:rsid w:val="004C0548"/>
    <w:rsid w:val="004C46C4"/>
    <w:rsid w:val="004C4E04"/>
    <w:rsid w:val="004C67D4"/>
    <w:rsid w:val="004C7154"/>
    <w:rsid w:val="004D228D"/>
    <w:rsid w:val="004D70D4"/>
    <w:rsid w:val="005866D3"/>
    <w:rsid w:val="005E053C"/>
    <w:rsid w:val="005F7B6F"/>
    <w:rsid w:val="00622D77"/>
    <w:rsid w:val="00646E99"/>
    <w:rsid w:val="00657425"/>
    <w:rsid w:val="00665C1B"/>
    <w:rsid w:val="00675766"/>
    <w:rsid w:val="006D6839"/>
    <w:rsid w:val="007252F7"/>
    <w:rsid w:val="007370ED"/>
    <w:rsid w:val="0079247F"/>
    <w:rsid w:val="007932B2"/>
    <w:rsid w:val="007B4AFF"/>
    <w:rsid w:val="007C2BC4"/>
    <w:rsid w:val="007E7155"/>
    <w:rsid w:val="00823CB5"/>
    <w:rsid w:val="008379ED"/>
    <w:rsid w:val="00876931"/>
    <w:rsid w:val="008832E4"/>
    <w:rsid w:val="009041B4"/>
    <w:rsid w:val="00935420"/>
    <w:rsid w:val="00991A93"/>
    <w:rsid w:val="009948A5"/>
    <w:rsid w:val="009A4CF8"/>
    <w:rsid w:val="009B6E19"/>
    <w:rsid w:val="009D5C4D"/>
    <w:rsid w:val="009E42ED"/>
    <w:rsid w:val="00A30DAA"/>
    <w:rsid w:val="00AA2647"/>
    <w:rsid w:val="00AD20A3"/>
    <w:rsid w:val="00AD6527"/>
    <w:rsid w:val="00B7267C"/>
    <w:rsid w:val="00BE77D7"/>
    <w:rsid w:val="00C10AD5"/>
    <w:rsid w:val="00C25511"/>
    <w:rsid w:val="00C320D2"/>
    <w:rsid w:val="00D2377E"/>
    <w:rsid w:val="00F13DA6"/>
    <w:rsid w:val="00F339EE"/>
    <w:rsid w:val="00F5739F"/>
    <w:rsid w:val="00F67CEE"/>
    <w:rsid w:val="00F8021A"/>
    <w:rsid w:val="00F90FBB"/>
    <w:rsid w:val="00F92531"/>
    <w:rsid w:val="00FA339F"/>
    <w:rsid w:val="00FB44F3"/>
    <w:rsid w:val="00FC58C2"/>
    <w:rsid w:val="00FF7739"/>
    <w:rsid w:val="09C32C91"/>
    <w:rsid w:val="11F1104F"/>
    <w:rsid w:val="1976267B"/>
    <w:rsid w:val="2322375E"/>
    <w:rsid w:val="283D329B"/>
    <w:rsid w:val="39502DB2"/>
    <w:rsid w:val="3F6F7CE5"/>
    <w:rsid w:val="44CB55AC"/>
    <w:rsid w:val="55842E08"/>
    <w:rsid w:val="59612EEA"/>
    <w:rsid w:val="5EC80630"/>
    <w:rsid w:val="6B5A17AD"/>
    <w:rsid w:val="70DE1751"/>
    <w:rsid w:val="75DEBBDA"/>
    <w:rsid w:val="7F13446D"/>
    <w:rsid w:val="F75669A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Style w:val="6"/>
      <w:tblCellMar>
        <w:top w:w="0" w:type="dxa"/>
        <w:left w:w="108" w:type="dxa"/>
        <w:bottom w:w="0" w:type="dxa"/>
        <w:right w:w="108" w:type="dxa"/>
      </w:tblCellMar>
    </w:tblPr>
  </w:style>
  <w:style w:type="paragraph" w:styleId="2">
    <w:name w:val="Balloon Text"/>
    <w:basedOn w:val="1"/>
    <w:link w:val="10"/>
    <w:uiPriority w:val="0"/>
    <w:rPr>
      <w:sz w:val="18"/>
      <w:szCs w:val="18"/>
    </w:r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uiPriority w:val="0"/>
    <w:pPr>
      <w:widowControl/>
      <w:spacing w:before="100" w:beforeAutospacing="1" w:after="100" w:afterAutospacing="1"/>
      <w:jc w:val="left"/>
    </w:pPr>
    <w:rPr>
      <w:rFonts w:ascii="宋体" w:hAnsi="宋体" w:cs="宋体"/>
      <w:kern w:val="0"/>
      <w:sz w:val="24"/>
    </w:rPr>
  </w:style>
  <w:style w:type="character" w:styleId="8">
    <w:name w:val="Strong"/>
    <w:qFormat/>
    <w:uiPriority w:val="0"/>
    <w:rPr>
      <w:b/>
      <w:bCs/>
    </w:rPr>
  </w:style>
  <w:style w:type="character" w:styleId="9">
    <w:name w:val="page number"/>
    <w:uiPriority w:val="0"/>
  </w:style>
  <w:style w:type="character" w:customStyle="1" w:styleId="10">
    <w:name w:val="批注框文本 Char"/>
    <w:link w:val="2"/>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1293</Words>
  <Characters>1327</Characters>
  <Lines>10</Lines>
  <Paragraphs>2</Paragraphs>
  <TotalTime>46</TotalTime>
  <ScaleCrop>false</ScaleCrop>
  <LinksUpToDate>false</LinksUpToDate>
  <CharactersWithSpaces>1373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2021-08-09T19:05:00Z</dcterms:created>
  <dc:creator>牟开亮</dc:creator>
  <cp:lastModifiedBy>szfxm</cp:lastModifiedBy>
  <cp:lastPrinted>2024-08-02T11:07:59Z</cp:lastPrinted>
  <dcterms:modified xsi:type="dcterms:W3CDTF">2024-08-02T16:17:50Z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40CB247A11AC40D286C8F18B9DFF4AC5_13</vt:lpwstr>
  </property>
</Properties>
</file>