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CD9" w:rsidRDefault="00392CD9" w:rsidP="00392CD9">
      <w:pPr>
        <w:spacing w:line="579" w:lineRule="exact"/>
        <w:jc w:val="left"/>
        <w:rPr>
          <w:rFonts w:eastAsia="黑体"/>
          <w:color w:val="000000"/>
          <w:sz w:val="32"/>
          <w:szCs w:val="32"/>
        </w:rPr>
      </w:pPr>
      <w:r>
        <w:rPr>
          <w:rFonts w:eastAsia="黑体"/>
          <w:color w:val="000000"/>
          <w:sz w:val="32"/>
          <w:szCs w:val="32"/>
        </w:rPr>
        <w:t>附件</w:t>
      </w:r>
      <w:r>
        <w:rPr>
          <w:rFonts w:eastAsia="黑体"/>
          <w:color w:val="000000"/>
          <w:sz w:val="32"/>
          <w:szCs w:val="32"/>
        </w:rPr>
        <w:t>1</w:t>
      </w:r>
    </w:p>
    <w:p w:rsidR="00392CD9" w:rsidRDefault="00392CD9" w:rsidP="00392CD9">
      <w:pPr>
        <w:spacing w:line="579" w:lineRule="exact"/>
        <w:jc w:val="left"/>
        <w:rPr>
          <w:rFonts w:eastAsia="黑体"/>
          <w:color w:val="000000"/>
          <w:sz w:val="32"/>
          <w:szCs w:val="32"/>
        </w:rPr>
      </w:pPr>
    </w:p>
    <w:p w:rsidR="00392CD9" w:rsidRDefault="00392CD9" w:rsidP="00392CD9">
      <w:pPr>
        <w:spacing w:line="0" w:lineRule="atLeast"/>
        <w:jc w:val="center"/>
        <w:rPr>
          <w:rFonts w:eastAsia="方正小标宋简体"/>
          <w:sz w:val="44"/>
          <w:szCs w:val="44"/>
        </w:rPr>
      </w:pPr>
      <w:r>
        <w:rPr>
          <w:rFonts w:eastAsia="方正小标宋简体"/>
          <w:sz w:val="44"/>
          <w:szCs w:val="44"/>
        </w:rPr>
        <w:t>2022</w:t>
      </w:r>
      <w:r>
        <w:rPr>
          <w:rFonts w:eastAsia="方正小标宋简体"/>
          <w:sz w:val="44"/>
          <w:szCs w:val="44"/>
        </w:rPr>
        <w:t>年江苏省综合防控儿童青少年近视</w:t>
      </w:r>
    </w:p>
    <w:p w:rsidR="00392CD9" w:rsidRDefault="00392CD9" w:rsidP="00392CD9">
      <w:pPr>
        <w:spacing w:line="0" w:lineRule="atLeast"/>
        <w:jc w:val="center"/>
        <w:rPr>
          <w:rFonts w:eastAsia="方正小标宋简体"/>
          <w:sz w:val="44"/>
          <w:szCs w:val="44"/>
        </w:rPr>
      </w:pPr>
      <w:r>
        <w:rPr>
          <w:rFonts w:eastAsia="方正小标宋简体"/>
          <w:sz w:val="44"/>
          <w:szCs w:val="44"/>
        </w:rPr>
        <w:t>工作评议考察和视力监测方案</w:t>
      </w:r>
    </w:p>
    <w:p w:rsidR="00392CD9" w:rsidRDefault="00392CD9" w:rsidP="00392CD9">
      <w:pPr>
        <w:rPr>
          <w:rFonts w:eastAsia="华文中宋"/>
          <w:sz w:val="44"/>
          <w:szCs w:val="44"/>
        </w:rPr>
      </w:pPr>
    </w:p>
    <w:p w:rsidR="00392CD9" w:rsidRDefault="00392CD9" w:rsidP="00392CD9">
      <w:pPr>
        <w:spacing w:line="540" w:lineRule="exact"/>
        <w:ind w:firstLineChars="200" w:firstLine="640"/>
        <w:rPr>
          <w:rFonts w:eastAsia="仿宋_GB2312"/>
          <w:sz w:val="32"/>
          <w:szCs w:val="32"/>
        </w:rPr>
      </w:pPr>
      <w:bookmarkStart w:id="0" w:name="_Hlk54255707"/>
      <w:r>
        <w:rPr>
          <w:rFonts w:eastAsia="仿宋_GB2312"/>
          <w:sz w:val="32"/>
          <w:szCs w:val="32"/>
        </w:rPr>
        <w:t>按照教育部、国家卫生健康委、国家体育总局《关于全国综合防控儿童青少年近视工作评议考核办法（试行）》（</w:t>
      </w:r>
      <w:proofErr w:type="gramStart"/>
      <w:r>
        <w:rPr>
          <w:rFonts w:eastAsia="仿宋_GB2312"/>
          <w:sz w:val="32"/>
          <w:szCs w:val="32"/>
        </w:rPr>
        <w:t>教体艺</w:t>
      </w:r>
      <w:proofErr w:type="gramEnd"/>
      <w:r>
        <w:rPr>
          <w:rFonts w:eastAsia="仿宋_GB2312"/>
          <w:sz w:val="32"/>
          <w:szCs w:val="32"/>
        </w:rPr>
        <w:t>〔</w:t>
      </w:r>
      <w:r>
        <w:rPr>
          <w:rFonts w:eastAsia="仿宋_GB2312"/>
          <w:sz w:val="32"/>
          <w:szCs w:val="32"/>
        </w:rPr>
        <w:t>2020</w:t>
      </w:r>
      <w:r>
        <w:rPr>
          <w:rFonts w:eastAsia="仿宋_GB2312"/>
          <w:sz w:val="32"/>
          <w:szCs w:val="32"/>
        </w:rPr>
        <w:t>〕</w:t>
      </w:r>
      <w:r>
        <w:rPr>
          <w:rFonts w:eastAsia="仿宋_GB2312"/>
          <w:sz w:val="32"/>
          <w:szCs w:val="32"/>
        </w:rPr>
        <w:t>4</w:t>
      </w:r>
      <w:r>
        <w:rPr>
          <w:rFonts w:eastAsia="仿宋_GB2312"/>
          <w:sz w:val="32"/>
          <w:szCs w:val="32"/>
        </w:rPr>
        <w:t>号）和省教育厅等八部门《关于做好儿童青少年近视综合防控工作的意见》（</w:t>
      </w:r>
      <w:proofErr w:type="gramStart"/>
      <w:r>
        <w:rPr>
          <w:rFonts w:eastAsia="仿宋_GB2312"/>
          <w:sz w:val="32"/>
          <w:szCs w:val="32"/>
        </w:rPr>
        <w:t>苏教体</w:t>
      </w:r>
      <w:proofErr w:type="gramEnd"/>
      <w:r>
        <w:rPr>
          <w:rFonts w:eastAsia="仿宋_GB2312"/>
          <w:sz w:val="32"/>
          <w:szCs w:val="32"/>
        </w:rPr>
        <w:t>艺〔</w:t>
      </w:r>
      <w:r>
        <w:rPr>
          <w:rFonts w:eastAsia="仿宋_GB2312"/>
          <w:sz w:val="32"/>
          <w:szCs w:val="32"/>
        </w:rPr>
        <w:t>2019</w:t>
      </w:r>
      <w:r>
        <w:rPr>
          <w:rFonts w:eastAsia="仿宋_GB2312"/>
          <w:sz w:val="32"/>
          <w:szCs w:val="32"/>
        </w:rPr>
        <w:t>〕</w:t>
      </w:r>
      <w:r>
        <w:rPr>
          <w:rFonts w:eastAsia="仿宋_GB2312"/>
          <w:sz w:val="32"/>
          <w:szCs w:val="32"/>
        </w:rPr>
        <w:t>7</w:t>
      </w:r>
      <w:r>
        <w:rPr>
          <w:rFonts w:eastAsia="仿宋_GB2312"/>
          <w:sz w:val="32"/>
          <w:szCs w:val="32"/>
        </w:rPr>
        <w:t>号）有关要求，</w:t>
      </w:r>
      <w:bookmarkEnd w:id="0"/>
      <w:r>
        <w:rPr>
          <w:rFonts w:eastAsia="仿宋_GB2312"/>
          <w:sz w:val="32"/>
          <w:szCs w:val="32"/>
        </w:rPr>
        <w:t>结合我省实际，制定如下评议</w:t>
      </w:r>
      <w:bookmarkStart w:id="1" w:name="_Hlk114497480"/>
      <w:r>
        <w:rPr>
          <w:rFonts w:eastAsia="仿宋_GB2312"/>
          <w:sz w:val="32"/>
          <w:szCs w:val="32"/>
        </w:rPr>
        <w:t>考察和视力监测</w:t>
      </w:r>
      <w:bookmarkEnd w:id="1"/>
      <w:r>
        <w:rPr>
          <w:rFonts w:eastAsia="仿宋_GB2312"/>
          <w:sz w:val="32"/>
          <w:szCs w:val="32"/>
        </w:rPr>
        <w:t>工作方案。</w:t>
      </w:r>
    </w:p>
    <w:p w:rsidR="00392CD9" w:rsidRDefault="00392CD9" w:rsidP="00392CD9">
      <w:pPr>
        <w:spacing w:line="560" w:lineRule="exact"/>
        <w:ind w:firstLineChars="200" w:firstLine="640"/>
        <w:rPr>
          <w:rFonts w:eastAsia="黑体"/>
          <w:bCs/>
          <w:sz w:val="32"/>
          <w:szCs w:val="32"/>
        </w:rPr>
      </w:pPr>
      <w:r>
        <w:rPr>
          <w:rFonts w:eastAsia="黑体"/>
          <w:bCs/>
          <w:sz w:val="32"/>
          <w:szCs w:val="32"/>
        </w:rPr>
        <w:t>一、工作目的</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坚持全面考察、突出重点，实事求是、客观公正，目标导向、力求实效的原则，推动各地各校切实落实综合防控儿童青少年近视工作相关要求。通过评议考察和视力监测，督促各地各校进一步落实工作责任，做到早监测、早发现、早预警、早干预，不折不扣完成好国家和江苏省儿童青少年近视防控工作目标任务，促进儿童青少年健康成长，全面发展。</w:t>
      </w:r>
    </w:p>
    <w:p w:rsidR="00392CD9" w:rsidRDefault="00392CD9" w:rsidP="00392CD9">
      <w:pPr>
        <w:spacing w:line="560" w:lineRule="exact"/>
        <w:ind w:firstLineChars="200" w:firstLine="640"/>
        <w:rPr>
          <w:rFonts w:eastAsia="黑体"/>
          <w:bCs/>
          <w:sz w:val="32"/>
          <w:szCs w:val="32"/>
        </w:rPr>
      </w:pPr>
      <w:r>
        <w:rPr>
          <w:rFonts w:eastAsia="黑体"/>
          <w:bCs/>
          <w:sz w:val="32"/>
          <w:szCs w:val="32"/>
        </w:rPr>
        <w:t>二、主要内容</w:t>
      </w:r>
    </w:p>
    <w:p w:rsidR="00392CD9" w:rsidRDefault="00392CD9" w:rsidP="00392CD9">
      <w:pPr>
        <w:spacing w:line="560" w:lineRule="exact"/>
        <w:ind w:firstLineChars="200" w:firstLine="640"/>
        <w:rPr>
          <w:rFonts w:eastAsia="楷体_GB2312"/>
          <w:sz w:val="32"/>
          <w:szCs w:val="32"/>
        </w:rPr>
      </w:pPr>
      <w:r>
        <w:rPr>
          <w:rFonts w:eastAsia="楷体_GB2312"/>
          <w:sz w:val="32"/>
          <w:szCs w:val="32"/>
        </w:rPr>
        <w:t>（一）综合防控儿童青少年近视工作现场考察</w:t>
      </w:r>
    </w:p>
    <w:p w:rsidR="00392CD9" w:rsidRDefault="00392CD9" w:rsidP="00392CD9">
      <w:pPr>
        <w:spacing w:line="560" w:lineRule="exact"/>
        <w:ind w:firstLineChars="200" w:firstLine="640"/>
        <w:rPr>
          <w:rFonts w:eastAsia="仿宋_GB2312"/>
          <w:sz w:val="32"/>
          <w:szCs w:val="32"/>
        </w:rPr>
      </w:pPr>
      <w:r>
        <w:rPr>
          <w:rFonts w:eastAsia="仿宋_GB2312"/>
          <w:sz w:val="32"/>
          <w:szCs w:val="32"/>
        </w:rPr>
        <w:t>专家组深入学校开展</w:t>
      </w:r>
      <w:r>
        <w:rPr>
          <w:rFonts w:eastAsia="仿宋_GB2312"/>
          <w:bCs/>
          <w:color w:val="000000"/>
          <w:sz w:val="32"/>
          <w:szCs w:val="32"/>
        </w:rPr>
        <w:t>现场评议，通过听取学校汇报、随机访谈、考查现场、查阅资料等方式进行。</w:t>
      </w:r>
      <w:r>
        <w:rPr>
          <w:rFonts w:eastAsia="仿宋_GB2312"/>
          <w:sz w:val="32"/>
          <w:szCs w:val="32"/>
        </w:rPr>
        <w:t>全面评议考察各地和相关学校近视防控工作整体推进情况，重点评议考察学校优化办学条</w:t>
      </w:r>
      <w:r>
        <w:rPr>
          <w:rFonts w:eastAsia="仿宋_GB2312"/>
          <w:sz w:val="32"/>
          <w:szCs w:val="32"/>
        </w:rPr>
        <w:lastRenderedPageBreak/>
        <w:t>件、改善用眼环境，人员设备配备、视力筛查上报公示，</w:t>
      </w:r>
      <w:proofErr w:type="gramStart"/>
      <w:r>
        <w:rPr>
          <w:rFonts w:eastAsia="仿宋_GB2312"/>
          <w:sz w:val="32"/>
          <w:szCs w:val="32"/>
        </w:rPr>
        <w:t>实施家</w:t>
      </w:r>
      <w:proofErr w:type="gramEnd"/>
      <w:r>
        <w:rPr>
          <w:rFonts w:eastAsia="仿宋_GB2312"/>
          <w:sz w:val="32"/>
          <w:szCs w:val="32"/>
        </w:rPr>
        <w:t>校联动、发挥家庭作用，重视科普宣传、推进健康教育，采取综合干预、降低近视发生等工作的落实情况，由专家组</w:t>
      </w:r>
      <w:r>
        <w:rPr>
          <w:rFonts w:eastAsia="仿宋_GB2312"/>
          <w:bCs/>
          <w:color w:val="000000"/>
          <w:sz w:val="32"/>
          <w:szCs w:val="32"/>
        </w:rPr>
        <w:t>根据</w:t>
      </w:r>
      <w:r>
        <w:rPr>
          <w:rFonts w:eastAsia="仿宋_GB2312"/>
          <w:sz w:val="32"/>
          <w:szCs w:val="32"/>
        </w:rPr>
        <w:t>《</w:t>
      </w:r>
      <w:r>
        <w:rPr>
          <w:rFonts w:eastAsia="仿宋_GB2312"/>
          <w:sz w:val="32"/>
          <w:szCs w:val="32"/>
        </w:rPr>
        <w:t>2022</w:t>
      </w:r>
      <w:r>
        <w:rPr>
          <w:rFonts w:eastAsia="仿宋_GB2312"/>
          <w:sz w:val="32"/>
          <w:szCs w:val="32"/>
        </w:rPr>
        <w:t>年江苏省综合防控儿童青少年近视工作评议考察量化评分表》（见附件</w:t>
      </w:r>
      <w:r>
        <w:rPr>
          <w:rFonts w:eastAsia="仿宋_GB2312"/>
          <w:sz w:val="32"/>
          <w:szCs w:val="32"/>
        </w:rPr>
        <w:t>2</w:t>
      </w:r>
      <w:r>
        <w:rPr>
          <w:rFonts w:eastAsia="仿宋_GB2312"/>
          <w:sz w:val="32"/>
          <w:szCs w:val="32"/>
        </w:rPr>
        <w:t>），进行现场考察评分。</w:t>
      </w:r>
    </w:p>
    <w:p w:rsidR="00392CD9" w:rsidRDefault="00392CD9" w:rsidP="00392CD9">
      <w:pPr>
        <w:spacing w:line="560" w:lineRule="exact"/>
        <w:ind w:firstLineChars="200" w:firstLine="640"/>
        <w:rPr>
          <w:rFonts w:eastAsia="楷体_GB2312"/>
          <w:sz w:val="32"/>
          <w:szCs w:val="32"/>
        </w:rPr>
      </w:pPr>
      <w:r>
        <w:rPr>
          <w:rFonts w:eastAsia="楷体_GB2312"/>
          <w:sz w:val="32"/>
          <w:szCs w:val="32"/>
        </w:rPr>
        <w:t>（二）学校教室照明和课桌椅符合</w:t>
      </w:r>
      <w:proofErr w:type="gramStart"/>
      <w:r>
        <w:rPr>
          <w:rFonts w:eastAsia="楷体_GB2312"/>
          <w:sz w:val="32"/>
          <w:szCs w:val="32"/>
        </w:rPr>
        <w:t>度现场</w:t>
      </w:r>
      <w:proofErr w:type="gramEnd"/>
      <w:r>
        <w:rPr>
          <w:rFonts w:eastAsia="楷体_GB2312"/>
          <w:sz w:val="32"/>
          <w:szCs w:val="32"/>
        </w:rPr>
        <w:t>监测</w:t>
      </w:r>
    </w:p>
    <w:p w:rsidR="00392CD9" w:rsidRDefault="00392CD9" w:rsidP="00392CD9">
      <w:pPr>
        <w:spacing w:line="560" w:lineRule="exact"/>
        <w:ind w:firstLineChars="200" w:firstLine="640"/>
        <w:rPr>
          <w:rFonts w:eastAsia="仿宋_GB2312"/>
          <w:sz w:val="32"/>
          <w:szCs w:val="32"/>
        </w:rPr>
      </w:pPr>
      <w:r>
        <w:rPr>
          <w:rFonts w:eastAsia="仿宋_GB2312"/>
          <w:sz w:val="32"/>
          <w:szCs w:val="32"/>
        </w:rPr>
        <w:t>每个年级抽取一间教室进行课桌面照度、黑板面照度、</w:t>
      </w:r>
      <w:proofErr w:type="gramStart"/>
      <w:r>
        <w:rPr>
          <w:rFonts w:eastAsia="仿宋_GB2312"/>
          <w:sz w:val="32"/>
          <w:szCs w:val="32"/>
        </w:rPr>
        <w:t>灯桌间距</w:t>
      </w:r>
      <w:proofErr w:type="gramEnd"/>
      <w:r>
        <w:rPr>
          <w:rFonts w:eastAsia="仿宋_GB2312"/>
          <w:sz w:val="32"/>
          <w:szCs w:val="32"/>
        </w:rPr>
        <w:t>和课桌椅分配符合率</w:t>
      </w:r>
      <w:r>
        <w:rPr>
          <w:rFonts w:eastAsia="仿宋_GB2312"/>
          <w:sz w:val="32"/>
          <w:szCs w:val="32"/>
        </w:rPr>
        <w:t>4</w:t>
      </w:r>
      <w:r>
        <w:rPr>
          <w:rFonts w:eastAsia="仿宋_GB2312"/>
          <w:sz w:val="32"/>
          <w:szCs w:val="32"/>
        </w:rPr>
        <w:t>项指标的检测。检测方法依据《</w:t>
      </w:r>
      <w:r>
        <w:rPr>
          <w:rFonts w:eastAsia="仿宋_GB2312"/>
          <w:sz w:val="32"/>
          <w:szCs w:val="32"/>
        </w:rPr>
        <w:t>GB/T 18205-2012</w:t>
      </w:r>
      <w:r>
        <w:rPr>
          <w:rFonts w:eastAsia="仿宋_GB2312"/>
          <w:sz w:val="32"/>
          <w:szCs w:val="32"/>
        </w:rPr>
        <w:t>学校卫生综合评价》执行。各项检测结果取平均值纳入本次评议考察评分内容。</w:t>
      </w:r>
    </w:p>
    <w:p w:rsidR="00392CD9" w:rsidRDefault="00392CD9" w:rsidP="00392CD9">
      <w:pPr>
        <w:spacing w:line="560" w:lineRule="exact"/>
        <w:ind w:firstLineChars="200" w:firstLine="640"/>
        <w:rPr>
          <w:rFonts w:eastAsia="楷体_GB2312"/>
          <w:sz w:val="32"/>
          <w:szCs w:val="32"/>
        </w:rPr>
      </w:pPr>
      <w:r>
        <w:rPr>
          <w:rFonts w:eastAsia="楷体_GB2312"/>
          <w:sz w:val="32"/>
          <w:szCs w:val="32"/>
        </w:rPr>
        <w:t>（三）学生近视</w:t>
      </w:r>
      <w:proofErr w:type="gramStart"/>
      <w:r>
        <w:rPr>
          <w:rFonts w:eastAsia="楷体_GB2312"/>
          <w:sz w:val="32"/>
          <w:szCs w:val="32"/>
        </w:rPr>
        <w:t>率现场</w:t>
      </w:r>
      <w:proofErr w:type="gramEnd"/>
      <w:r>
        <w:rPr>
          <w:rFonts w:eastAsia="楷体_GB2312"/>
          <w:sz w:val="32"/>
          <w:szCs w:val="32"/>
        </w:rPr>
        <w:t>监测</w:t>
      </w:r>
    </w:p>
    <w:p w:rsidR="00392CD9" w:rsidRDefault="00392CD9" w:rsidP="00392CD9">
      <w:pPr>
        <w:spacing w:line="560" w:lineRule="exact"/>
        <w:ind w:firstLineChars="200" w:firstLine="640"/>
        <w:rPr>
          <w:rFonts w:eastAsia="仿宋_GB2312"/>
          <w:sz w:val="32"/>
          <w:szCs w:val="32"/>
        </w:rPr>
      </w:pPr>
      <w:r>
        <w:rPr>
          <w:rFonts w:eastAsia="仿宋_GB2312"/>
          <w:sz w:val="32"/>
          <w:szCs w:val="32"/>
        </w:rPr>
        <w:t>包括儿童青少年左右眼裸眼视力和左右眼屈光度。监测结果纳入本次评议考察评分内容。</w:t>
      </w:r>
    </w:p>
    <w:p w:rsidR="00392CD9" w:rsidRDefault="00392CD9" w:rsidP="00392CD9">
      <w:pPr>
        <w:spacing w:line="560" w:lineRule="exact"/>
        <w:ind w:firstLineChars="200" w:firstLine="640"/>
        <w:rPr>
          <w:rFonts w:eastAsia="楷体_GB2312"/>
          <w:sz w:val="32"/>
          <w:szCs w:val="32"/>
        </w:rPr>
      </w:pPr>
      <w:r>
        <w:rPr>
          <w:rFonts w:eastAsia="楷体_GB2312"/>
          <w:sz w:val="32"/>
          <w:szCs w:val="32"/>
        </w:rPr>
        <w:t>（四）举办近视防控科普讲座</w:t>
      </w:r>
    </w:p>
    <w:p w:rsidR="00392CD9" w:rsidRDefault="00392CD9" w:rsidP="00392CD9">
      <w:pPr>
        <w:ind w:firstLineChars="200" w:firstLine="640"/>
        <w:rPr>
          <w:rFonts w:eastAsia="仿宋_GB2312"/>
          <w:sz w:val="32"/>
          <w:szCs w:val="32"/>
        </w:rPr>
      </w:pPr>
      <w:r>
        <w:rPr>
          <w:rFonts w:eastAsia="仿宋_GB2312"/>
          <w:sz w:val="32"/>
          <w:szCs w:val="32"/>
        </w:rPr>
        <w:t>评议考察和视力监测期间由监测队员在学校举办一场近视防控公益科普讲座。</w:t>
      </w:r>
    </w:p>
    <w:p w:rsidR="00392CD9" w:rsidRDefault="00392CD9" w:rsidP="00392CD9">
      <w:pPr>
        <w:spacing w:line="560" w:lineRule="exact"/>
        <w:ind w:firstLineChars="200" w:firstLine="640"/>
        <w:rPr>
          <w:rFonts w:eastAsia="黑体"/>
          <w:bCs/>
          <w:sz w:val="32"/>
          <w:szCs w:val="32"/>
        </w:rPr>
      </w:pPr>
      <w:r>
        <w:rPr>
          <w:rFonts w:eastAsia="黑体"/>
          <w:bCs/>
          <w:sz w:val="32"/>
          <w:szCs w:val="32"/>
        </w:rPr>
        <w:t>三、时间安排</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2022</w:t>
      </w:r>
      <w:r>
        <w:rPr>
          <w:rFonts w:eastAsia="仿宋_GB2312"/>
          <w:sz w:val="32"/>
          <w:szCs w:val="32"/>
        </w:rPr>
        <w:t>年</w:t>
      </w:r>
      <w:r>
        <w:rPr>
          <w:rFonts w:eastAsia="仿宋_GB2312"/>
          <w:sz w:val="32"/>
          <w:szCs w:val="32"/>
        </w:rPr>
        <w:t>11</w:t>
      </w:r>
      <w:r>
        <w:rPr>
          <w:rFonts w:eastAsia="仿宋_GB2312"/>
          <w:sz w:val="32"/>
          <w:szCs w:val="32"/>
        </w:rPr>
        <w:t>月至</w:t>
      </w:r>
      <w:r>
        <w:rPr>
          <w:rFonts w:eastAsia="仿宋_GB2312"/>
          <w:sz w:val="32"/>
          <w:szCs w:val="32"/>
        </w:rPr>
        <w:t>12</w:t>
      </w:r>
      <w:r>
        <w:rPr>
          <w:rFonts w:eastAsia="仿宋_GB2312"/>
          <w:sz w:val="32"/>
          <w:szCs w:val="32"/>
        </w:rPr>
        <w:t>月。具体监测时间由各设区市教育局会商江苏省儿童青少年近视防控研究中心确定（联系人：周云帆，电话：</w:t>
      </w:r>
      <w:r>
        <w:rPr>
          <w:rFonts w:eastAsia="仿宋_GB2312"/>
          <w:sz w:val="32"/>
          <w:szCs w:val="32"/>
        </w:rPr>
        <w:t>13951686414</w:t>
      </w:r>
      <w:r>
        <w:rPr>
          <w:rFonts w:eastAsia="仿宋_GB2312"/>
          <w:sz w:val="32"/>
          <w:szCs w:val="32"/>
        </w:rPr>
        <w:t>，邮箱：</w:t>
      </w:r>
      <w:r>
        <w:rPr>
          <w:rFonts w:eastAsia="仿宋_GB2312"/>
          <w:sz w:val="32"/>
          <w:szCs w:val="32"/>
        </w:rPr>
        <w:t>281977345@qq.com</w:t>
      </w:r>
      <w:r>
        <w:rPr>
          <w:rFonts w:eastAsia="仿宋_GB2312"/>
          <w:sz w:val="32"/>
          <w:szCs w:val="32"/>
        </w:rPr>
        <w:t>）。</w:t>
      </w:r>
    </w:p>
    <w:p w:rsidR="00392CD9" w:rsidRDefault="00392CD9" w:rsidP="00392CD9">
      <w:pPr>
        <w:spacing w:line="560" w:lineRule="exact"/>
        <w:ind w:firstLineChars="200" w:firstLine="640"/>
        <w:rPr>
          <w:rFonts w:eastAsia="黑体"/>
          <w:bCs/>
          <w:sz w:val="32"/>
          <w:szCs w:val="32"/>
        </w:rPr>
      </w:pPr>
      <w:r>
        <w:rPr>
          <w:rFonts w:eastAsia="黑体"/>
          <w:bCs/>
          <w:sz w:val="32"/>
          <w:szCs w:val="32"/>
        </w:rPr>
        <w:t>四、范围和对象</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（一）地区和学校：本次评议考察和视力监测覆盖全省</w:t>
      </w:r>
      <w:r>
        <w:rPr>
          <w:rFonts w:eastAsia="仿宋_GB2312"/>
          <w:sz w:val="32"/>
          <w:szCs w:val="32"/>
        </w:rPr>
        <w:t>13</w:t>
      </w:r>
      <w:r>
        <w:rPr>
          <w:rFonts w:eastAsia="仿宋_GB2312"/>
          <w:sz w:val="32"/>
          <w:szCs w:val="32"/>
        </w:rPr>
        <w:lastRenderedPageBreak/>
        <w:t>个设区市，每个设区市抽取</w:t>
      </w:r>
      <w:r>
        <w:rPr>
          <w:rFonts w:eastAsia="仿宋_GB2312"/>
          <w:sz w:val="32"/>
          <w:szCs w:val="32"/>
        </w:rPr>
        <w:t>1</w:t>
      </w:r>
      <w:r>
        <w:rPr>
          <w:rFonts w:eastAsia="仿宋_GB2312"/>
          <w:sz w:val="32"/>
          <w:szCs w:val="32"/>
        </w:rPr>
        <w:t>个城区和</w:t>
      </w:r>
      <w:r>
        <w:rPr>
          <w:rFonts w:eastAsia="仿宋_GB2312"/>
          <w:sz w:val="32"/>
          <w:szCs w:val="32"/>
        </w:rPr>
        <w:t>1</w:t>
      </w:r>
      <w:r>
        <w:rPr>
          <w:rFonts w:eastAsia="仿宋_GB2312"/>
          <w:sz w:val="32"/>
          <w:szCs w:val="32"/>
        </w:rPr>
        <w:t>个涉农县（市、区）。每个县（市、区）抽取</w:t>
      </w:r>
      <w:r>
        <w:rPr>
          <w:rFonts w:eastAsia="仿宋_GB2312"/>
          <w:sz w:val="32"/>
          <w:szCs w:val="32"/>
        </w:rPr>
        <w:t>6</w:t>
      </w:r>
      <w:r>
        <w:rPr>
          <w:rFonts w:eastAsia="仿宋_GB2312"/>
          <w:sz w:val="32"/>
          <w:szCs w:val="32"/>
        </w:rPr>
        <w:t>所中小学（普通小学、普通初中、普通高中各</w:t>
      </w:r>
      <w:r>
        <w:rPr>
          <w:rFonts w:eastAsia="仿宋_GB2312"/>
          <w:sz w:val="32"/>
          <w:szCs w:val="32"/>
        </w:rPr>
        <w:t>2</w:t>
      </w:r>
      <w:r>
        <w:rPr>
          <w:rFonts w:eastAsia="仿宋_GB2312"/>
          <w:sz w:val="32"/>
          <w:szCs w:val="32"/>
        </w:rPr>
        <w:t>所）和</w:t>
      </w:r>
      <w:r>
        <w:rPr>
          <w:rFonts w:eastAsia="仿宋_GB2312"/>
          <w:sz w:val="32"/>
          <w:szCs w:val="32"/>
        </w:rPr>
        <w:t>2</w:t>
      </w:r>
      <w:r>
        <w:rPr>
          <w:rFonts w:eastAsia="仿宋_GB2312"/>
          <w:sz w:val="32"/>
          <w:szCs w:val="32"/>
        </w:rPr>
        <w:t>所幼儿园。具体县（市、区）和中小学、幼儿园名单由省教育厅统一抽取确定。</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（二）监测对象：小学、初中、高中覆盖所有年级，幼儿园在大班中抽取</w:t>
      </w:r>
      <w:r>
        <w:rPr>
          <w:rFonts w:eastAsia="仿宋_GB2312"/>
          <w:sz w:val="32"/>
          <w:szCs w:val="32"/>
        </w:rPr>
        <w:t>5</w:t>
      </w:r>
      <w:r>
        <w:rPr>
          <w:rFonts w:eastAsia="仿宋_GB2312"/>
          <w:sz w:val="32"/>
          <w:szCs w:val="32"/>
        </w:rPr>
        <w:t>岁半到</w:t>
      </w:r>
      <w:r>
        <w:rPr>
          <w:rFonts w:eastAsia="仿宋_GB2312"/>
          <w:sz w:val="32"/>
          <w:szCs w:val="32"/>
        </w:rPr>
        <w:t>6</w:t>
      </w:r>
      <w:r>
        <w:rPr>
          <w:rFonts w:eastAsia="仿宋_GB2312"/>
          <w:sz w:val="32"/>
          <w:szCs w:val="32"/>
        </w:rPr>
        <w:t>岁半学生</w:t>
      </w:r>
      <w:r>
        <w:rPr>
          <w:rFonts w:eastAsia="仿宋_GB2312"/>
          <w:sz w:val="32"/>
          <w:szCs w:val="32"/>
        </w:rPr>
        <w:t>80</w:t>
      </w:r>
      <w:r>
        <w:rPr>
          <w:rFonts w:eastAsia="仿宋_GB2312"/>
          <w:sz w:val="32"/>
          <w:szCs w:val="32"/>
        </w:rPr>
        <w:t>人。中小学每个年级抽取</w:t>
      </w:r>
      <w:r>
        <w:rPr>
          <w:rFonts w:eastAsia="仿宋_GB2312"/>
          <w:sz w:val="32"/>
          <w:szCs w:val="32"/>
        </w:rPr>
        <w:t>2</w:t>
      </w:r>
      <w:r>
        <w:rPr>
          <w:rFonts w:eastAsia="仿宋_GB2312"/>
          <w:sz w:val="32"/>
          <w:szCs w:val="32"/>
        </w:rPr>
        <w:t>个班级全体学生，如</w:t>
      </w:r>
      <w:r>
        <w:rPr>
          <w:rFonts w:eastAsia="仿宋_GB2312"/>
          <w:sz w:val="32"/>
          <w:szCs w:val="32"/>
        </w:rPr>
        <w:t>2</w:t>
      </w:r>
      <w:r>
        <w:rPr>
          <w:rFonts w:eastAsia="仿宋_GB2312"/>
          <w:sz w:val="32"/>
          <w:szCs w:val="32"/>
        </w:rPr>
        <w:t>个班级学生人数不足</w:t>
      </w:r>
      <w:r>
        <w:rPr>
          <w:rFonts w:eastAsia="仿宋_GB2312"/>
          <w:sz w:val="32"/>
          <w:szCs w:val="32"/>
        </w:rPr>
        <w:t>80</w:t>
      </w:r>
      <w:r>
        <w:rPr>
          <w:rFonts w:eastAsia="仿宋_GB2312"/>
          <w:sz w:val="32"/>
          <w:szCs w:val="32"/>
        </w:rPr>
        <w:t>人，再抽取同年级一个整班学生参加监测。每个县（市、区）至少监测</w:t>
      </w:r>
      <w:r>
        <w:rPr>
          <w:rFonts w:eastAsia="仿宋_GB2312"/>
          <w:sz w:val="32"/>
          <w:szCs w:val="32"/>
        </w:rPr>
        <w:t>2080</w:t>
      </w:r>
      <w:r>
        <w:rPr>
          <w:rFonts w:eastAsia="仿宋_GB2312"/>
          <w:sz w:val="32"/>
          <w:szCs w:val="32"/>
        </w:rPr>
        <w:t>人，每个设区市至少监测</w:t>
      </w:r>
      <w:r>
        <w:rPr>
          <w:rFonts w:eastAsia="仿宋_GB2312"/>
          <w:sz w:val="32"/>
          <w:szCs w:val="32"/>
        </w:rPr>
        <w:t>4160</w:t>
      </w:r>
      <w:r>
        <w:rPr>
          <w:rFonts w:eastAsia="仿宋_GB2312"/>
          <w:sz w:val="32"/>
          <w:szCs w:val="32"/>
        </w:rPr>
        <w:t>人，全省监测学生总数不少于</w:t>
      </w:r>
      <w:r>
        <w:rPr>
          <w:rFonts w:eastAsia="仿宋_GB2312"/>
          <w:sz w:val="32"/>
          <w:szCs w:val="32"/>
        </w:rPr>
        <w:t>54080</w:t>
      </w:r>
      <w:r>
        <w:rPr>
          <w:rFonts w:eastAsia="仿宋_GB2312"/>
          <w:sz w:val="32"/>
          <w:szCs w:val="32"/>
        </w:rPr>
        <w:t>人。</w:t>
      </w:r>
    </w:p>
    <w:p w:rsidR="00392CD9" w:rsidRDefault="00392CD9" w:rsidP="00392CD9">
      <w:pPr>
        <w:spacing w:line="560" w:lineRule="exact"/>
        <w:ind w:firstLineChars="200" w:firstLine="640"/>
        <w:rPr>
          <w:rFonts w:eastAsia="黑体"/>
          <w:bCs/>
          <w:sz w:val="32"/>
          <w:szCs w:val="32"/>
        </w:rPr>
      </w:pPr>
      <w:r>
        <w:rPr>
          <w:rFonts w:eastAsia="黑体"/>
          <w:bCs/>
          <w:sz w:val="32"/>
          <w:szCs w:val="32"/>
        </w:rPr>
        <w:t>五、人员和设备</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（一）评议考察和视力监测专家队伍。全省共组织</w:t>
      </w:r>
      <w:r>
        <w:rPr>
          <w:rFonts w:eastAsia="仿宋_GB2312"/>
          <w:sz w:val="32"/>
          <w:szCs w:val="32"/>
        </w:rPr>
        <w:t>4</w:t>
      </w:r>
      <w:r>
        <w:rPr>
          <w:rFonts w:eastAsia="仿宋_GB2312"/>
          <w:sz w:val="32"/>
          <w:szCs w:val="32"/>
        </w:rPr>
        <w:t>支专家队伍，每支队伍包括</w:t>
      </w:r>
      <w:r>
        <w:rPr>
          <w:rFonts w:eastAsia="仿宋_GB2312"/>
          <w:sz w:val="32"/>
          <w:szCs w:val="32"/>
        </w:rPr>
        <w:t>8</w:t>
      </w:r>
      <w:r>
        <w:rPr>
          <w:rFonts w:eastAsia="仿宋_GB2312"/>
          <w:sz w:val="32"/>
          <w:szCs w:val="32"/>
        </w:rPr>
        <w:t>名成员，其中，组长</w:t>
      </w:r>
      <w:r>
        <w:rPr>
          <w:rFonts w:eastAsia="仿宋_GB2312"/>
          <w:sz w:val="32"/>
          <w:szCs w:val="32"/>
        </w:rPr>
        <w:t>1</w:t>
      </w:r>
      <w:r>
        <w:rPr>
          <w:rFonts w:eastAsia="仿宋_GB2312"/>
          <w:sz w:val="32"/>
          <w:szCs w:val="32"/>
        </w:rPr>
        <w:t>人，</w:t>
      </w:r>
      <w:r>
        <w:rPr>
          <w:rFonts w:eastAsia="仿宋_GB2312"/>
          <w:bCs/>
          <w:color w:val="000000"/>
          <w:sz w:val="32"/>
          <w:szCs w:val="32"/>
        </w:rPr>
        <w:t>负责全面统筹协调工作，副组长</w:t>
      </w:r>
      <w:r>
        <w:rPr>
          <w:rFonts w:eastAsia="仿宋_GB2312"/>
          <w:sz w:val="32"/>
          <w:szCs w:val="32"/>
        </w:rPr>
        <w:t>1</w:t>
      </w:r>
      <w:r>
        <w:rPr>
          <w:rFonts w:eastAsia="仿宋_GB2312"/>
          <w:sz w:val="32"/>
          <w:szCs w:val="32"/>
        </w:rPr>
        <w:t>人，负责现场测量和视力监测的组织协调和质量控制，配合组长做好</w:t>
      </w:r>
      <w:r>
        <w:rPr>
          <w:rFonts w:eastAsia="仿宋_GB2312"/>
          <w:bCs/>
          <w:color w:val="000000"/>
          <w:sz w:val="32"/>
          <w:szCs w:val="32"/>
        </w:rPr>
        <w:t>现场评议考察评分等工作；</w:t>
      </w:r>
      <w:r>
        <w:rPr>
          <w:rFonts w:eastAsia="仿宋_GB2312"/>
          <w:sz w:val="32"/>
          <w:szCs w:val="32"/>
        </w:rPr>
        <w:t>视力监测员</w:t>
      </w:r>
      <w:r>
        <w:rPr>
          <w:rFonts w:eastAsia="仿宋_GB2312"/>
          <w:sz w:val="32"/>
          <w:szCs w:val="32"/>
        </w:rPr>
        <w:t>4</w:t>
      </w:r>
      <w:r>
        <w:rPr>
          <w:rFonts w:eastAsia="仿宋_GB2312"/>
          <w:sz w:val="32"/>
          <w:szCs w:val="32"/>
        </w:rPr>
        <w:t>人，负责学生的裸眼视力和屈光度监测；教室照明与课桌椅监测员</w:t>
      </w:r>
      <w:r>
        <w:rPr>
          <w:rFonts w:eastAsia="仿宋_GB2312"/>
          <w:sz w:val="32"/>
          <w:szCs w:val="32"/>
        </w:rPr>
        <w:t>2</w:t>
      </w:r>
      <w:r>
        <w:rPr>
          <w:rFonts w:eastAsia="仿宋_GB2312"/>
          <w:sz w:val="32"/>
          <w:szCs w:val="32"/>
        </w:rPr>
        <w:t>人，负责教室照明、课桌椅符合度监测、开展近视防控科普讲座。副组长和监测员均具备眼科执业医师或</w:t>
      </w:r>
      <w:proofErr w:type="gramStart"/>
      <w:r>
        <w:rPr>
          <w:rFonts w:eastAsia="仿宋_GB2312"/>
          <w:sz w:val="32"/>
          <w:szCs w:val="32"/>
        </w:rPr>
        <w:t>验光员资质</w:t>
      </w:r>
      <w:proofErr w:type="gramEnd"/>
      <w:r>
        <w:rPr>
          <w:rFonts w:eastAsia="仿宋_GB2312"/>
          <w:sz w:val="32"/>
          <w:szCs w:val="32"/>
        </w:rPr>
        <w:t>。</w:t>
      </w:r>
    </w:p>
    <w:p w:rsidR="00392CD9" w:rsidRDefault="00392CD9" w:rsidP="00392CD9">
      <w:pPr>
        <w:spacing w:line="540" w:lineRule="exact"/>
        <w:ind w:firstLineChars="200" w:firstLine="640"/>
        <w:rPr>
          <w:rFonts w:eastAsia="仿宋_GB2312"/>
          <w:b/>
          <w:bCs/>
          <w:sz w:val="32"/>
          <w:szCs w:val="32"/>
        </w:rPr>
      </w:pPr>
      <w:r>
        <w:rPr>
          <w:rFonts w:eastAsia="仿宋_GB2312"/>
          <w:sz w:val="32"/>
          <w:szCs w:val="32"/>
        </w:rPr>
        <w:t>（二）监测设备。每支监测队伍统一配置专业视力监测设备、照度仪、激光测距仪、教室卫生学测量多用尺和笔记本电脑。</w:t>
      </w:r>
    </w:p>
    <w:p w:rsidR="00392CD9" w:rsidRDefault="00392CD9" w:rsidP="00392CD9">
      <w:pPr>
        <w:spacing w:line="540" w:lineRule="exact"/>
        <w:ind w:firstLineChars="200" w:firstLine="640"/>
        <w:rPr>
          <w:rFonts w:eastAsia="黑体"/>
          <w:bCs/>
          <w:sz w:val="32"/>
          <w:szCs w:val="32"/>
        </w:rPr>
      </w:pPr>
      <w:r>
        <w:rPr>
          <w:rFonts w:eastAsia="黑体"/>
          <w:bCs/>
          <w:sz w:val="32"/>
          <w:szCs w:val="32"/>
        </w:rPr>
        <w:t>六、视力监测方法</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（一）协助工作。各设区市和相关县（市、区）教育局安排专门人员协助省专家</w:t>
      </w:r>
      <w:proofErr w:type="gramStart"/>
      <w:r>
        <w:rPr>
          <w:rFonts w:eastAsia="仿宋_GB2312"/>
          <w:sz w:val="32"/>
          <w:szCs w:val="32"/>
        </w:rPr>
        <w:t>组做好</w:t>
      </w:r>
      <w:proofErr w:type="gramEnd"/>
      <w:r>
        <w:rPr>
          <w:rFonts w:eastAsia="仿宋_GB2312"/>
          <w:sz w:val="32"/>
          <w:szCs w:val="32"/>
        </w:rPr>
        <w:t>相关工作，相关中小学和幼儿园要提</w:t>
      </w:r>
      <w:r>
        <w:rPr>
          <w:rFonts w:eastAsia="仿宋_GB2312"/>
          <w:sz w:val="32"/>
          <w:szCs w:val="32"/>
        </w:rPr>
        <w:lastRenderedPageBreak/>
        <w:t>前准备好全校学生花名册（电子版），包括学生姓名、性别、年级、班级等，协助做好监测班级的课时调整和现场组织工作。</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（二）省专家组到达学校后，从学校（幼儿园）提供的学生花名册中随机抽取调查的班级，尽可能抽取缺勤人数少的班级。</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（三）省专家组安排</w:t>
      </w:r>
      <w:r>
        <w:rPr>
          <w:rFonts w:eastAsia="仿宋_GB2312"/>
          <w:sz w:val="32"/>
          <w:szCs w:val="32"/>
        </w:rPr>
        <w:t>2-3</w:t>
      </w:r>
      <w:r>
        <w:rPr>
          <w:rFonts w:eastAsia="仿宋_GB2312"/>
          <w:sz w:val="32"/>
          <w:szCs w:val="32"/>
        </w:rPr>
        <w:t>名工作人员到班级核验学生身份等相关信息，带领全体学生到预定监测地点参加现场测试。</w:t>
      </w:r>
    </w:p>
    <w:p w:rsidR="00392CD9" w:rsidRDefault="00392CD9" w:rsidP="00392CD9">
      <w:pPr>
        <w:spacing w:line="540" w:lineRule="exact"/>
        <w:ind w:firstLineChars="200" w:firstLine="640"/>
        <w:jc w:val="left"/>
        <w:rPr>
          <w:rFonts w:eastAsia="仿宋_GB2312"/>
          <w:sz w:val="32"/>
          <w:szCs w:val="32"/>
        </w:rPr>
      </w:pPr>
      <w:r>
        <w:rPr>
          <w:rFonts w:eastAsia="仿宋_GB2312"/>
          <w:sz w:val="32"/>
          <w:szCs w:val="32"/>
        </w:rPr>
        <w:t>（四）缺勤学生管理。对于缺勤学生，需在学校学生健康监测缺课系统中查询到相关信息，并在缺勤学生信息登记表中填写相关信息（见附件</w:t>
      </w:r>
      <w:r>
        <w:rPr>
          <w:rFonts w:eastAsia="仿宋_GB2312"/>
          <w:sz w:val="32"/>
          <w:szCs w:val="32"/>
        </w:rPr>
        <w:t>3</w:t>
      </w:r>
      <w:r>
        <w:rPr>
          <w:rFonts w:eastAsia="仿宋_GB2312"/>
          <w:sz w:val="32"/>
          <w:szCs w:val="32"/>
        </w:rPr>
        <w:t>）。缺勤学生的视力和屈光度检查由当地组织安排，要求选择县（市、区）级及以上综合医院眼科，检查结束后填写缺勤学生视力监测登记表（见附件</w:t>
      </w:r>
      <w:r>
        <w:rPr>
          <w:rFonts w:eastAsia="仿宋_GB2312"/>
          <w:sz w:val="32"/>
          <w:szCs w:val="32"/>
        </w:rPr>
        <w:t>4</w:t>
      </w:r>
      <w:r>
        <w:rPr>
          <w:rFonts w:eastAsia="仿宋_GB2312"/>
          <w:sz w:val="32"/>
          <w:szCs w:val="32"/>
        </w:rPr>
        <w:t>），于</w:t>
      </w:r>
      <w:r>
        <w:rPr>
          <w:rFonts w:eastAsia="仿宋_GB2312"/>
          <w:sz w:val="32"/>
          <w:szCs w:val="32"/>
        </w:rPr>
        <w:t>2022</w:t>
      </w:r>
      <w:r>
        <w:rPr>
          <w:rFonts w:eastAsia="仿宋_GB2312"/>
          <w:sz w:val="32"/>
          <w:szCs w:val="32"/>
        </w:rPr>
        <w:t>年</w:t>
      </w:r>
      <w:r>
        <w:rPr>
          <w:rFonts w:eastAsia="仿宋_GB2312"/>
          <w:sz w:val="32"/>
          <w:szCs w:val="32"/>
        </w:rPr>
        <w:t>12</w:t>
      </w:r>
      <w:r>
        <w:rPr>
          <w:rFonts w:eastAsia="仿宋_GB2312"/>
          <w:sz w:val="32"/>
          <w:szCs w:val="32"/>
        </w:rPr>
        <w:t>月</w:t>
      </w:r>
      <w:r>
        <w:rPr>
          <w:rFonts w:eastAsia="仿宋_GB2312"/>
          <w:sz w:val="32"/>
          <w:szCs w:val="32"/>
        </w:rPr>
        <w:t>30</w:t>
      </w:r>
      <w:r>
        <w:rPr>
          <w:rFonts w:eastAsia="仿宋_GB2312"/>
          <w:sz w:val="32"/>
          <w:szCs w:val="32"/>
        </w:rPr>
        <w:t>日前上报省教育厅（联系人：周云帆，电话：</w:t>
      </w:r>
      <w:r>
        <w:rPr>
          <w:rFonts w:eastAsia="仿宋_GB2312"/>
          <w:sz w:val="32"/>
          <w:szCs w:val="32"/>
        </w:rPr>
        <w:t>13951686414</w:t>
      </w:r>
      <w:r>
        <w:rPr>
          <w:rFonts w:eastAsia="仿宋_GB2312"/>
          <w:sz w:val="32"/>
          <w:szCs w:val="32"/>
        </w:rPr>
        <w:t>，邮箱：</w:t>
      </w:r>
      <w:hyperlink r:id="rId7" w:history="1">
        <w:r>
          <w:rPr>
            <w:rFonts w:eastAsia="仿宋_GB2312"/>
            <w:sz w:val="32"/>
            <w:szCs w:val="32"/>
          </w:rPr>
          <w:t>281977345@qq.com</w:t>
        </w:r>
      </w:hyperlink>
      <w:r>
        <w:rPr>
          <w:rFonts w:eastAsia="仿宋_GB2312"/>
          <w:sz w:val="32"/>
          <w:szCs w:val="32"/>
        </w:rPr>
        <w:t>）。</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（五）裸眼视力检查。视光师询问学生后，进行裸眼视力检查。学生视力检查应在距离电子视力表</w:t>
      </w:r>
      <w:r>
        <w:rPr>
          <w:rFonts w:eastAsia="仿宋_GB2312"/>
          <w:sz w:val="32"/>
          <w:szCs w:val="32"/>
        </w:rPr>
        <w:t>5</w:t>
      </w:r>
      <w:r>
        <w:rPr>
          <w:rFonts w:eastAsia="仿宋_GB2312"/>
          <w:sz w:val="32"/>
          <w:szCs w:val="32"/>
        </w:rPr>
        <w:t>米处实施。视力检查操作规范参照《</w:t>
      </w:r>
      <w:r>
        <w:rPr>
          <w:rFonts w:eastAsia="仿宋_GB2312"/>
          <w:sz w:val="32"/>
          <w:szCs w:val="32"/>
        </w:rPr>
        <w:t>WS/T 663-2020</w:t>
      </w:r>
      <w:r>
        <w:rPr>
          <w:rFonts w:eastAsia="仿宋_GB2312"/>
          <w:sz w:val="32"/>
          <w:szCs w:val="32"/>
        </w:rPr>
        <w:t>中小学生屈光不正筛查规范》执行，初筛性近视标准：裸眼视力</w:t>
      </w:r>
      <w:r>
        <w:rPr>
          <w:rFonts w:eastAsia="仿宋_GB2312"/>
          <w:sz w:val="32"/>
          <w:szCs w:val="32"/>
        </w:rPr>
        <w:t>&lt;5.0</w:t>
      </w:r>
      <w:r>
        <w:rPr>
          <w:rFonts w:eastAsia="仿宋_GB2312"/>
          <w:sz w:val="32"/>
          <w:szCs w:val="32"/>
        </w:rPr>
        <w:t>且非睫状肌麻痹</w:t>
      </w:r>
      <w:proofErr w:type="gramStart"/>
      <w:r>
        <w:rPr>
          <w:rFonts w:eastAsia="仿宋_GB2312"/>
          <w:sz w:val="32"/>
          <w:szCs w:val="32"/>
        </w:rPr>
        <w:t>下电脑</w:t>
      </w:r>
      <w:proofErr w:type="gramEnd"/>
      <w:r>
        <w:rPr>
          <w:rFonts w:eastAsia="仿宋_GB2312"/>
          <w:sz w:val="32"/>
          <w:szCs w:val="32"/>
        </w:rPr>
        <w:t>验光等效球镜度数</w:t>
      </w:r>
      <w:r>
        <w:rPr>
          <w:rFonts w:eastAsia="仿宋_GB2312"/>
          <w:sz w:val="32"/>
          <w:szCs w:val="32"/>
        </w:rPr>
        <w:t>&lt;-0.50D</w:t>
      </w:r>
      <w:r>
        <w:rPr>
          <w:rFonts w:eastAsia="仿宋_GB2312"/>
          <w:sz w:val="32"/>
          <w:szCs w:val="32"/>
        </w:rPr>
        <w:t>。</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（六）屈光度检查。视光</w:t>
      </w:r>
      <w:proofErr w:type="gramStart"/>
      <w:r>
        <w:rPr>
          <w:rFonts w:eastAsia="仿宋_GB2312"/>
          <w:sz w:val="32"/>
          <w:szCs w:val="32"/>
        </w:rPr>
        <w:t>师操作</w:t>
      </w:r>
      <w:proofErr w:type="gramEnd"/>
      <w:r>
        <w:rPr>
          <w:rFonts w:eastAsia="仿宋_GB2312"/>
          <w:sz w:val="32"/>
          <w:szCs w:val="32"/>
        </w:rPr>
        <w:t>自动电脑验光</w:t>
      </w:r>
      <w:proofErr w:type="gramStart"/>
      <w:r>
        <w:rPr>
          <w:rFonts w:eastAsia="仿宋_GB2312"/>
          <w:sz w:val="32"/>
          <w:szCs w:val="32"/>
        </w:rPr>
        <w:t>仪完成</w:t>
      </w:r>
      <w:proofErr w:type="gramEnd"/>
      <w:r>
        <w:rPr>
          <w:rFonts w:eastAsia="仿宋_GB2312"/>
          <w:sz w:val="32"/>
          <w:szCs w:val="32"/>
        </w:rPr>
        <w:t>学生屈光度检查。屈光度检查操作规范参照《</w:t>
      </w:r>
      <w:r>
        <w:rPr>
          <w:rFonts w:eastAsia="仿宋_GB2312"/>
          <w:sz w:val="32"/>
          <w:szCs w:val="32"/>
        </w:rPr>
        <w:t>WS/T 663-2020</w:t>
      </w:r>
      <w:r>
        <w:rPr>
          <w:rFonts w:eastAsia="仿宋_GB2312"/>
          <w:sz w:val="32"/>
          <w:szCs w:val="32"/>
        </w:rPr>
        <w:t>中小学生屈光不正筛查规范》执行。</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（七）记录结果。现场监测时，视光</w:t>
      </w:r>
      <w:proofErr w:type="gramStart"/>
      <w:r>
        <w:rPr>
          <w:rFonts w:eastAsia="仿宋_GB2312"/>
          <w:sz w:val="32"/>
          <w:szCs w:val="32"/>
        </w:rPr>
        <w:t>师做好</w:t>
      </w:r>
      <w:proofErr w:type="gramEnd"/>
      <w:r>
        <w:rPr>
          <w:rFonts w:eastAsia="仿宋_GB2312"/>
          <w:sz w:val="32"/>
          <w:szCs w:val="32"/>
        </w:rPr>
        <w:t>学生相关信息记录，学校全部监测结束后，省专家组和相关人员填写《学生视力</w:t>
      </w:r>
      <w:r>
        <w:rPr>
          <w:rFonts w:eastAsia="仿宋_GB2312"/>
          <w:sz w:val="32"/>
          <w:szCs w:val="32"/>
        </w:rPr>
        <w:lastRenderedPageBreak/>
        <w:t>监测记录表》（见附件</w:t>
      </w:r>
      <w:r>
        <w:rPr>
          <w:rFonts w:eastAsia="仿宋_GB2312"/>
          <w:sz w:val="32"/>
          <w:szCs w:val="32"/>
        </w:rPr>
        <w:t>5</w:t>
      </w:r>
      <w:r>
        <w:rPr>
          <w:rFonts w:eastAsia="仿宋_GB2312"/>
          <w:sz w:val="32"/>
          <w:szCs w:val="32"/>
        </w:rPr>
        <w:t>），并分别由班主任、校长、省专家组副组长签名确认，原件由省专家组副组长带回并扫描成</w:t>
      </w:r>
      <w:r>
        <w:rPr>
          <w:rFonts w:eastAsia="仿宋_GB2312"/>
          <w:sz w:val="32"/>
          <w:szCs w:val="32"/>
        </w:rPr>
        <w:t>PDF</w:t>
      </w:r>
      <w:r>
        <w:rPr>
          <w:rFonts w:eastAsia="仿宋_GB2312"/>
          <w:sz w:val="32"/>
          <w:szCs w:val="32"/>
        </w:rPr>
        <w:t>格式于测试当天发送至邮箱：</w:t>
      </w:r>
      <w:hyperlink r:id="rId8" w:history="1">
        <w:r>
          <w:rPr>
            <w:rFonts w:eastAsia="仿宋_GB2312"/>
            <w:sz w:val="32"/>
            <w:szCs w:val="32"/>
          </w:rPr>
          <w:t>281977345@qq.com</w:t>
        </w:r>
      </w:hyperlink>
      <w:r>
        <w:rPr>
          <w:rFonts w:eastAsia="仿宋_GB2312"/>
          <w:sz w:val="32"/>
          <w:szCs w:val="32"/>
        </w:rPr>
        <w:t>，《学生视力监测记录表》另复印</w:t>
      </w:r>
      <w:r>
        <w:rPr>
          <w:rFonts w:eastAsia="仿宋_GB2312"/>
          <w:sz w:val="32"/>
          <w:szCs w:val="32"/>
        </w:rPr>
        <w:t>3</w:t>
      </w:r>
      <w:r>
        <w:rPr>
          <w:rFonts w:eastAsia="仿宋_GB2312"/>
          <w:sz w:val="32"/>
          <w:szCs w:val="32"/>
        </w:rPr>
        <w:t>份，分别由设区市教育局、县（市、区）教育局和学校留存。</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（八）监测进度。省专家组每周工作</w:t>
      </w:r>
      <w:r>
        <w:rPr>
          <w:rFonts w:eastAsia="仿宋_GB2312"/>
          <w:sz w:val="32"/>
          <w:szCs w:val="32"/>
        </w:rPr>
        <w:t>5</w:t>
      </w:r>
      <w:r>
        <w:rPr>
          <w:rFonts w:eastAsia="仿宋_GB2312"/>
          <w:sz w:val="32"/>
          <w:szCs w:val="32"/>
        </w:rPr>
        <w:t>天，每周需完成</w:t>
      </w:r>
      <w:r>
        <w:rPr>
          <w:rFonts w:eastAsia="仿宋_GB2312"/>
          <w:sz w:val="32"/>
          <w:szCs w:val="32"/>
        </w:rPr>
        <w:t>1</w:t>
      </w:r>
      <w:r>
        <w:rPr>
          <w:rFonts w:eastAsia="仿宋_GB2312"/>
          <w:sz w:val="32"/>
          <w:szCs w:val="32"/>
        </w:rPr>
        <w:t>个县（市、区）内的</w:t>
      </w:r>
      <w:r>
        <w:rPr>
          <w:rFonts w:eastAsia="仿宋_GB2312"/>
          <w:sz w:val="32"/>
          <w:szCs w:val="32"/>
        </w:rPr>
        <w:t>2</w:t>
      </w:r>
      <w:r>
        <w:rPr>
          <w:rFonts w:eastAsia="仿宋_GB2312"/>
          <w:sz w:val="32"/>
          <w:szCs w:val="32"/>
        </w:rPr>
        <w:t>所幼儿园大班、</w:t>
      </w:r>
      <w:r>
        <w:rPr>
          <w:rFonts w:eastAsia="仿宋_GB2312"/>
          <w:sz w:val="32"/>
          <w:szCs w:val="32"/>
        </w:rPr>
        <w:t>2</w:t>
      </w:r>
      <w:r>
        <w:rPr>
          <w:rFonts w:eastAsia="仿宋_GB2312"/>
          <w:sz w:val="32"/>
          <w:szCs w:val="32"/>
        </w:rPr>
        <w:t>所小学、</w:t>
      </w:r>
      <w:r>
        <w:rPr>
          <w:rFonts w:eastAsia="仿宋_GB2312"/>
          <w:sz w:val="32"/>
          <w:szCs w:val="32"/>
        </w:rPr>
        <w:t>2</w:t>
      </w:r>
      <w:r>
        <w:rPr>
          <w:rFonts w:eastAsia="仿宋_GB2312"/>
          <w:sz w:val="32"/>
          <w:szCs w:val="32"/>
        </w:rPr>
        <w:t>所初中和</w:t>
      </w:r>
      <w:r>
        <w:rPr>
          <w:rFonts w:eastAsia="仿宋_GB2312"/>
          <w:sz w:val="32"/>
          <w:szCs w:val="32"/>
        </w:rPr>
        <w:t>2</w:t>
      </w:r>
      <w:r>
        <w:rPr>
          <w:rFonts w:eastAsia="仿宋_GB2312"/>
          <w:sz w:val="32"/>
          <w:szCs w:val="32"/>
        </w:rPr>
        <w:t>所高中的全部监测任务。</w:t>
      </w:r>
    </w:p>
    <w:p w:rsidR="00392CD9" w:rsidRDefault="00392CD9" w:rsidP="00392CD9">
      <w:pPr>
        <w:spacing w:line="540" w:lineRule="exact"/>
        <w:ind w:firstLineChars="200" w:firstLine="640"/>
        <w:rPr>
          <w:rFonts w:eastAsia="黑体"/>
          <w:bCs/>
          <w:sz w:val="32"/>
          <w:szCs w:val="32"/>
        </w:rPr>
      </w:pPr>
      <w:r>
        <w:rPr>
          <w:rFonts w:eastAsia="黑体"/>
          <w:bCs/>
          <w:sz w:val="32"/>
          <w:szCs w:val="32"/>
        </w:rPr>
        <w:t>七、工作要求</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（一）完善评议监测制度。</w:t>
      </w:r>
      <w:r>
        <w:rPr>
          <w:rFonts w:eastAsia="仿宋_GB2312"/>
          <w:sz w:val="32"/>
          <w:szCs w:val="32"/>
        </w:rPr>
        <w:t>2022</w:t>
      </w:r>
      <w:r>
        <w:rPr>
          <w:rFonts w:eastAsia="仿宋_GB2312"/>
          <w:sz w:val="32"/>
          <w:szCs w:val="32"/>
        </w:rPr>
        <w:t>年对各设区市儿童青少年近视防控工作评议考察的评分将作为对设区市人民政府履行教育职责考核的参考依据。各设区市要按照相关文件规定要求，参照省级工作方案，每年对所辖县（市、区）儿童青少年近视状况进行调查监测排名公示，并督促各县（市、区）对所属学校，学校对各年级、班级进行监测排名公示。</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（二）严肃评议监测纪律。坚持实事求是、公平公正，坚决杜绝弄虚作假，一经发现，予以全省通报批评；情节严重的，依法追究相关人员责任。</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（三）加强质量控制。江苏省儿童青少年近视防控研究中心和</w:t>
      </w:r>
      <w:proofErr w:type="gramStart"/>
      <w:r>
        <w:rPr>
          <w:rFonts w:eastAsia="仿宋_GB2312"/>
          <w:sz w:val="32"/>
          <w:szCs w:val="32"/>
        </w:rPr>
        <w:t>省疾控中心</w:t>
      </w:r>
      <w:proofErr w:type="gramEnd"/>
      <w:r>
        <w:rPr>
          <w:rFonts w:eastAsia="仿宋_GB2312"/>
          <w:sz w:val="32"/>
          <w:szCs w:val="32"/>
        </w:rPr>
        <w:t>将组织专家进行技术指导和现场监督，开展全过程质量控制，确保监测结果的真实性、准确性。</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（四）保障工作经费。省教育厅拨付江苏省儿童青少年近视防控研究中心专项经费支持，主要用于专家队伍食宿、交通、培</w:t>
      </w:r>
      <w:r>
        <w:rPr>
          <w:rFonts w:eastAsia="仿宋_GB2312"/>
          <w:sz w:val="32"/>
          <w:szCs w:val="32"/>
        </w:rPr>
        <w:lastRenderedPageBreak/>
        <w:t>训、劳务等费用支出。学校不得向学生或家长收取任何费用。</w:t>
      </w:r>
    </w:p>
    <w:p w:rsidR="00392CD9" w:rsidRDefault="00392CD9" w:rsidP="00392CD9">
      <w:pPr>
        <w:spacing w:line="540" w:lineRule="exact"/>
        <w:ind w:firstLineChars="200" w:firstLine="640"/>
        <w:rPr>
          <w:rFonts w:eastAsia="仿宋_GB2312"/>
          <w:sz w:val="32"/>
          <w:szCs w:val="32"/>
        </w:rPr>
      </w:pPr>
      <w:r>
        <w:rPr>
          <w:rFonts w:eastAsia="仿宋_GB2312"/>
          <w:sz w:val="32"/>
          <w:szCs w:val="32"/>
        </w:rPr>
        <w:t>（五）做好疫情防控。省专家组和其他相关人员进入学校（幼儿园）评议监测，须严格遵守当地和学校疫情防控规定。</w:t>
      </w:r>
    </w:p>
    <w:p w:rsidR="00392CD9" w:rsidRDefault="00392CD9" w:rsidP="00392CD9">
      <w:pPr>
        <w:spacing w:line="540" w:lineRule="exact"/>
        <w:ind w:firstLineChars="200" w:firstLine="640"/>
        <w:rPr>
          <w:rFonts w:eastAsia="仿宋_GB2312"/>
          <w:sz w:val="32"/>
          <w:szCs w:val="32"/>
        </w:rPr>
      </w:pPr>
    </w:p>
    <w:p w:rsidR="00392CD9" w:rsidRDefault="00392CD9" w:rsidP="00392CD9">
      <w:pPr>
        <w:spacing w:line="540" w:lineRule="exact"/>
        <w:ind w:firstLineChars="200" w:firstLine="640"/>
        <w:rPr>
          <w:rFonts w:eastAsia="仿宋_GB2312"/>
          <w:sz w:val="32"/>
          <w:szCs w:val="32"/>
        </w:rPr>
      </w:pPr>
    </w:p>
    <w:p w:rsidR="00392CD9" w:rsidRDefault="00392CD9" w:rsidP="00392CD9">
      <w:pPr>
        <w:spacing w:line="540" w:lineRule="exact"/>
        <w:ind w:firstLineChars="200" w:firstLine="640"/>
        <w:rPr>
          <w:rFonts w:eastAsia="仿宋_GB2312"/>
          <w:sz w:val="32"/>
          <w:szCs w:val="32"/>
        </w:rPr>
      </w:pPr>
    </w:p>
    <w:p w:rsidR="00392CD9" w:rsidRDefault="00392CD9" w:rsidP="00392CD9">
      <w:pPr>
        <w:spacing w:line="540" w:lineRule="exact"/>
        <w:ind w:firstLineChars="200" w:firstLine="640"/>
        <w:rPr>
          <w:rFonts w:eastAsia="仿宋_GB2312"/>
          <w:sz w:val="32"/>
          <w:szCs w:val="32"/>
        </w:rPr>
      </w:pPr>
    </w:p>
    <w:p w:rsidR="00392CD9" w:rsidRDefault="00392CD9" w:rsidP="00392CD9">
      <w:pPr>
        <w:spacing w:line="540" w:lineRule="exact"/>
        <w:ind w:firstLineChars="200" w:firstLine="640"/>
        <w:rPr>
          <w:rFonts w:eastAsia="仿宋_GB2312"/>
          <w:sz w:val="32"/>
          <w:szCs w:val="32"/>
        </w:rPr>
      </w:pPr>
    </w:p>
    <w:p w:rsidR="00392CD9" w:rsidRDefault="00392CD9" w:rsidP="00392CD9">
      <w:pPr>
        <w:spacing w:line="540" w:lineRule="exact"/>
        <w:ind w:firstLineChars="200" w:firstLine="640"/>
        <w:rPr>
          <w:rFonts w:eastAsia="仿宋_GB2312"/>
          <w:sz w:val="32"/>
          <w:szCs w:val="32"/>
        </w:rPr>
      </w:pPr>
    </w:p>
    <w:p w:rsidR="00392CD9" w:rsidRDefault="00392CD9" w:rsidP="00392CD9">
      <w:pPr>
        <w:spacing w:line="540" w:lineRule="exact"/>
        <w:ind w:firstLineChars="200" w:firstLine="640"/>
        <w:rPr>
          <w:rFonts w:eastAsia="仿宋_GB2312"/>
          <w:sz w:val="32"/>
          <w:szCs w:val="32"/>
        </w:rPr>
      </w:pPr>
      <w:bookmarkStart w:id="2" w:name="_GoBack"/>
      <w:bookmarkEnd w:id="2"/>
    </w:p>
    <w:sectPr w:rsidR="00392CD9" w:rsidSect="009C3FDB">
      <w:footerReference w:type="even" r:id="rId9"/>
      <w:footerReference w:type="default" r:id="rId10"/>
      <w:pgSz w:w="11906" w:h="16838"/>
      <w:pgMar w:top="2098" w:right="1531" w:bottom="1984"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2D5B" w:rsidRDefault="00582D5B" w:rsidP="00392CD9">
      <w:r>
        <w:separator/>
      </w:r>
    </w:p>
  </w:endnote>
  <w:endnote w:type="continuationSeparator" w:id="0">
    <w:p w:rsidR="00582D5B" w:rsidRDefault="00582D5B" w:rsidP="00392C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E2C" w:rsidRDefault="008E2027">
    <w:pPr>
      <w:pStyle w:val="a4"/>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rsidR="00FD0E2C" w:rsidRDefault="00FD0E2C">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0E2C" w:rsidRDefault="00392CD9">
    <w:pPr>
      <w:pStyle w:val="a4"/>
      <w:ind w:right="360" w:firstLine="360"/>
    </w:pPr>
    <w:r>
      <w:rPr>
        <w:noProof/>
      </w:rPr>
      <mc:AlternateContent>
        <mc:Choice Requires="wps">
          <w:drawing>
            <wp:anchor distT="0" distB="0" distL="114300" distR="114300" simplePos="0" relativeHeight="251658240" behindDoc="0" locked="0" layoutInCell="1" allowOverlap="1" wp14:anchorId="7D2721C2" wp14:editId="61470A82">
              <wp:simplePos x="0" y="0"/>
              <wp:positionH relativeFrom="margin">
                <wp:align>outside</wp:align>
              </wp:positionH>
              <wp:positionV relativeFrom="paragraph">
                <wp:posOffset>0</wp:posOffset>
              </wp:positionV>
              <wp:extent cx="1067435" cy="230505"/>
              <wp:effectExtent l="635" t="1270" r="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0E2C" w:rsidRDefault="008E2027">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9C3FDB">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32.85pt;margin-top:0;width:84.05pt;height:18.15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" filled="f" stroked="f">
              <v:textbox style="mso-fit-shape-to-text:t" inset="0,0,0,0">
                <w:txbxContent>
                  <w:p w:rsidR="00FD0E2C" w:rsidRDefault="008E2027">
                    <w:pPr>
                      <w:pStyle w:val="a4"/>
                      <w:ind w:leftChars="200" w:left="420" w:rightChars="200" w:right="420"/>
                      <w:rPr>
                        <w:rStyle w:val="a6"/>
                        <w:rFonts w:ascii="宋体" w:hAnsi="宋体"/>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9C3FDB">
                      <w:rPr>
                        <w:rStyle w:val="a6"/>
                        <w:rFonts w:ascii="宋体" w:hAnsi="宋体"/>
                        <w:noProof/>
                        <w:sz w:val="28"/>
                        <w:szCs w:val="28"/>
                      </w:rPr>
                      <w:t>1</w:t>
                    </w:r>
                    <w:r>
                      <w:rPr>
                        <w:rStyle w:val="a6"/>
                        <w:rFonts w:ascii="宋体" w:hAnsi="宋体"/>
                        <w:sz w:val="28"/>
                        <w:szCs w:val="28"/>
                      </w:rPr>
                      <w:fldChar w:fldCharType="end"/>
                    </w:r>
                    <w:r>
                      <w:rPr>
                        <w:rStyle w:val="a6"/>
                        <w:rFonts w:ascii="宋体" w:hAnsi="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2D5B" w:rsidRDefault="00582D5B" w:rsidP="00392CD9">
      <w:r>
        <w:separator/>
      </w:r>
    </w:p>
  </w:footnote>
  <w:footnote w:type="continuationSeparator" w:id="0">
    <w:p w:rsidR="00582D5B" w:rsidRDefault="00582D5B" w:rsidP="00392CD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26E"/>
    <w:rsid w:val="00392CD9"/>
    <w:rsid w:val="00500ACA"/>
    <w:rsid w:val="00582D5B"/>
    <w:rsid w:val="0078226E"/>
    <w:rsid w:val="008E2027"/>
    <w:rsid w:val="009C3FDB"/>
    <w:rsid w:val="00FD0E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CD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392CD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92CD9"/>
    <w:rPr>
      <w:sz w:val="18"/>
      <w:szCs w:val="18"/>
    </w:rPr>
  </w:style>
  <w:style w:type="paragraph" w:styleId="a4">
    <w:name w:val="footer"/>
    <w:basedOn w:val="a"/>
    <w:link w:val="Char0"/>
    <w:unhideWhenUsed/>
    <w:rsid w:val="00392CD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92CD9"/>
    <w:rPr>
      <w:sz w:val="18"/>
      <w:szCs w:val="18"/>
    </w:rPr>
  </w:style>
  <w:style w:type="table" w:styleId="a5">
    <w:name w:val="Table Grid"/>
    <w:basedOn w:val="a1"/>
    <w:uiPriority w:val="99"/>
    <w:qFormat/>
    <w:rsid w:val="00392CD9"/>
    <w:rPr>
      <w:rFonts w:ascii="Times New Roman" w:eastAsia="Times New Roman"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age number"/>
    <w:basedOn w:val="a0"/>
    <w:rsid w:val="00392CD9"/>
  </w:style>
  <w:style w:type="paragraph" w:customStyle="1" w:styleId="Bodytext1">
    <w:name w:val="Body text|1"/>
    <w:basedOn w:val="a"/>
    <w:qFormat/>
    <w:rsid w:val="00392CD9"/>
    <w:pPr>
      <w:spacing w:line="412" w:lineRule="auto"/>
      <w:ind w:firstLine="400"/>
      <w:jc w:val="left"/>
    </w:pPr>
    <w:rPr>
      <w:rFonts w:ascii="宋体" w:hAnsi="宋体" w:cs="宋体"/>
      <w:color w:val="000000"/>
      <w:kern w:val="0"/>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CD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392CD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92CD9"/>
    <w:rPr>
      <w:sz w:val="18"/>
      <w:szCs w:val="18"/>
    </w:rPr>
  </w:style>
  <w:style w:type="paragraph" w:styleId="a4">
    <w:name w:val="footer"/>
    <w:basedOn w:val="a"/>
    <w:link w:val="Char0"/>
    <w:unhideWhenUsed/>
    <w:rsid w:val="00392CD9"/>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92CD9"/>
    <w:rPr>
      <w:sz w:val="18"/>
      <w:szCs w:val="18"/>
    </w:rPr>
  </w:style>
  <w:style w:type="table" w:styleId="a5">
    <w:name w:val="Table Grid"/>
    <w:basedOn w:val="a1"/>
    <w:uiPriority w:val="99"/>
    <w:qFormat/>
    <w:rsid w:val="00392CD9"/>
    <w:rPr>
      <w:rFonts w:ascii="Times New Roman" w:eastAsia="Times New Roman"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age number"/>
    <w:basedOn w:val="a0"/>
    <w:rsid w:val="00392CD9"/>
  </w:style>
  <w:style w:type="paragraph" w:customStyle="1" w:styleId="Bodytext1">
    <w:name w:val="Body text|1"/>
    <w:basedOn w:val="a"/>
    <w:qFormat/>
    <w:rsid w:val="00392CD9"/>
    <w:pPr>
      <w:spacing w:line="412" w:lineRule="auto"/>
      <w:ind w:firstLine="400"/>
      <w:jc w:val="left"/>
    </w:pPr>
    <w:rPr>
      <w:rFonts w:ascii="宋体" w:hAnsi="宋体" w:cs="宋体"/>
      <w:color w:val="000000"/>
      <w:kern w:val="0"/>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81977345@qq.com" TargetMode="External"/><Relationship Id="rId3" Type="http://schemas.openxmlformats.org/officeDocument/2006/relationships/settings" Target="settings.xml"/><Relationship Id="rId7" Type="http://schemas.openxmlformats.org/officeDocument/2006/relationships/hyperlink" Target="mailto:281977345@qq.com"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424</Words>
  <Characters>2418</Characters>
  <Application>Microsoft Office Word</Application>
  <DocSecurity>0</DocSecurity>
  <Lines>20</Lines>
  <Paragraphs>5</Paragraphs>
  <ScaleCrop>false</ScaleCrop>
  <Company>JSJYT</Company>
  <LinksUpToDate>false</LinksUpToDate>
  <CharactersWithSpaces>2837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2022-11-07T03:55:00Z</dcterms:created>
  <dcterms:modified xsi:type="dcterms:W3CDTF">2022-11-07T03:55:00Z</dcterms:modified>
</cp:coreProperties>
</file>