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EB86C0">
      <w:pPr>
        <w:spacing w:line="560" w:lineRule="exact"/>
        <w:rPr>
          <w:rFonts w:hint="default" w:ascii="Times New Roman" w:hAnsi="Times New Roman" w:eastAsia="黑体" w:cs="Times New Roman"/>
          <w:color w:val="000000" w:themeColor="text1"/>
          <w:sz w:val="32"/>
          <w:szCs w:val="44"/>
          <w:highlight w:val="none"/>
          <w14:textFill>
            <w14:solidFill>
              <w14:schemeClr w14:val="tx1"/>
            </w14:solidFill>
          </w14:textFill>
        </w:rPr>
      </w:pPr>
      <w:bookmarkStart w:id="0" w:name="OLE_LINK3"/>
      <w:bookmarkStart w:id="1" w:name="OLE_LINK2"/>
      <w:bookmarkStart w:id="2" w:name="OLE_LINK1"/>
      <w:r>
        <w:rPr>
          <w:rFonts w:hint="eastAsia" w:ascii="Times New Roman" w:hAnsi="Times New Roman" w:eastAsia="黑体" w:cs="Times New Roman"/>
          <w:color w:val="000000" w:themeColor="text1"/>
          <w:sz w:val="32"/>
          <w:szCs w:val="44"/>
          <w:highlight w:val="none"/>
          <w:lang w:val="en-US" w:eastAsia="zh-CN"/>
          <w14:textFill>
            <w14:solidFill>
              <w14:schemeClr w14:val="tx1"/>
            </w14:solidFill>
          </w14:textFill>
        </w:rPr>
        <w:t>附件</w:t>
      </w:r>
      <w:r>
        <w:rPr>
          <w:rFonts w:hint="default" w:ascii="Times New Roman" w:hAnsi="Times New Roman" w:eastAsia="黑体" w:cs="Times New Roman"/>
          <w:color w:val="000000" w:themeColor="text1"/>
          <w:sz w:val="32"/>
          <w:szCs w:val="44"/>
          <w:highlight w:val="none"/>
          <w14:textFill>
            <w14:solidFill>
              <w14:schemeClr w14:val="tx1"/>
            </w14:solidFill>
          </w14:textFill>
        </w:rPr>
        <w:t>1</w:t>
      </w:r>
    </w:p>
    <w:p w14:paraId="32167C79">
      <w:pPr>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p>
    <w:p w14:paraId="5BB1C7CC">
      <w:pPr>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江苏省高等职业学校办学条件</w:t>
      </w:r>
    </w:p>
    <w:p w14:paraId="284F5605">
      <w:pPr>
        <w:spacing w:line="600" w:lineRule="exact"/>
        <w:jc w:val="cente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14:textFill>
            <w14:solidFill>
              <w14:schemeClr w14:val="tx1"/>
            </w14:solidFill>
          </w14:textFill>
        </w:rPr>
        <w:t>监测指标体系</w:t>
      </w:r>
    </w:p>
    <w:p w14:paraId="1E0354A8">
      <w:pPr>
        <w:spacing w:line="600" w:lineRule="exact"/>
        <w:ind w:firstLine="640" w:firstLineChars="200"/>
        <w:rPr>
          <w:rFonts w:hint="default" w:ascii="Times New Roman" w:hAnsi="Times New Roman" w:eastAsia="仿宋_GB2312" w:cs="Times New Roman"/>
          <w:color w:val="000000" w:themeColor="text1"/>
          <w:sz w:val="32"/>
          <w:szCs w:val="44"/>
          <w:highlight w:val="none"/>
          <w14:textFill>
            <w14:solidFill>
              <w14:schemeClr w14:val="tx1"/>
            </w14:solidFill>
          </w14:textFill>
        </w:rPr>
      </w:pPr>
    </w:p>
    <w:p w14:paraId="439493EC">
      <w:pPr>
        <w:spacing w:line="560" w:lineRule="exact"/>
        <w:ind w:firstLine="640" w:firstLineChars="200"/>
        <w:rPr>
          <w:rFonts w:hint="default" w:ascii="Times New Roman" w:hAnsi="Times New Roman" w:eastAsia="仿宋_GB2312" w:cs="Times New Roman"/>
          <w:color w:val="000000" w:themeColor="text1"/>
          <w:sz w:val="32"/>
          <w:szCs w:val="44"/>
          <w:highlight w:val="none"/>
          <w14:textFill>
            <w14:solidFill>
              <w14:schemeClr w14:val="tx1"/>
            </w14:solidFill>
          </w14:textFill>
        </w:rPr>
      </w:pPr>
      <w:r>
        <w:rPr>
          <w:rFonts w:hint="default" w:ascii="Times New Roman" w:hAnsi="Times New Roman" w:eastAsia="仿宋_GB2312" w:cs="Times New Roman"/>
          <w:color w:val="000000" w:themeColor="text1"/>
          <w:sz w:val="32"/>
          <w:szCs w:val="44"/>
          <w:highlight w:val="none"/>
          <w14:textFill>
            <w14:solidFill>
              <w14:schemeClr w14:val="tx1"/>
            </w14:solidFill>
          </w14:textFill>
        </w:rPr>
        <w:t>依据《教育部高等职业学校办学能力评价实施方案（2025—2030年）》</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及</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国家</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关于</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高等职业学校办学条件</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相关文件</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要求，</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结合江苏高等职业学校实际</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，制定本指标体系。</w:t>
      </w:r>
    </w:p>
    <w:p w14:paraId="390C499E">
      <w:pPr>
        <w:spacing w:line="560" w:lineRule="exact"/>
        <w:ind w:firstLine="640" w:firstLineChars="200"/>
        <w:rPr>
          <w:rFonts w:hint="default" w:ascii="Times New Roman" w:hAnsi="Times New Roman" w:eastAsia="仿宋_GB2312" w:cs="Times New Roman"/>
          <w:color w:val="000000" w:themeColor="text1"/>
          <w:sz w:val="32"/>
          <w:szCs w:val="44"/>
          <w:highlight w:val="none"/>
          <w14:textFill>
            <w14:solidFill>
              <w14:schemeClr w14:val="tx1"/>
            </w14:solidFill>
          </w14:textFill>
        </w:rPr>
      </w:pPr>
      <w:r>
        <w:rPr>
          <w:rFonts w:hint="default" w:ascii="Times New Roman" w:hAnsi="Times New Roman" w:eastAsia="黑体" w:cs="Times New Roman"/>
          <w:color w:val="000000" w:themeColor="text1"/>
          <w:sz w:val="32"/>
          <w:szCs w:val="44"/>
          <w:highlight w:val="none"/>
          <w14:textFill>
            <w14:solidFill>
              <w14:schemeClr w14:val="tx1"/>
            </w14:solidFill>
          </w14:textFill>
        </w:rPr>
        <w:t>一、指标设置</w:t>
      </w:r>
    </w:p>
    <w:p w14:paraId="1770AB6C">
      <w:pPr>
        <w:spacing w:line="560" w:lineRule="exact"/>
        <w:ind w:firstLine="640" w:firstLineChars="200"/>
        <w:rPr>
          <w:rFonts w:hint="default" w:ascii="Times New Roman" w:hAnsi="Times New Roman" w:eastAsia="仿宋_GB2312" w:cs="Times New Roman"/>
          <w:color w:val="000000" w:themeColor="text1"/>
          <w:sz w:val="32"/>
          <w:szCs w:val="44"/>
          <w:highlight w:val="none"/>
          <w14:textFill>
            <w14:solidFill>
              <w14:schemeClr w14:val="tx1"/>
            </w14:solidFill>
          </w14:textFill>
        </w:rPr>
      </w:pPr>
      <w:r>
        <w:rPr>
          <w:rFonts w:hint="default" w:ascii="Times New Roman" w:hAnsi="Times New Roman" w:eastAsia="仿宋_GB2312" w:cs="Times New Roman"/>
          <w:color w:val="000000" w:themeColor="text1"/>
          <w:sz w:val="32"/>
          <w:szCs w:val="44"/>
          <w:highlight w:val="none"/>
          <w14:textFill>
            <w14:solidFill>
              <w14:schemeClr w14:val="tx1"/>
            </w14:solidFill>
          </w14:textFill>
        </w:rPr>
        <w:t>高等职业学校办学条件监测指标由4个一级指标、21个二级指标和46个监测点组成</w:t>
      </w:r>
      <w:r>
        <w:rPr>
          <w:rFonts w:hint="eastAsia" w:ascii="Times New Roman" w:hAnsi="Times New Roman" w:eastAsia="仿宋_GB2312" w:cs="Times New Roman"/>
          <w:color w:val="000000" w:themeColor="text1"/>
          <w:sz w:val="32"/>
          <w:szCs w:val="44"/>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其中监测点</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包括</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25个基本监测点</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和</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21个动态监测点。</w:t>
      </w:r>
    </w:p>
    <w:p w14:paraId="3CC25EA2">
      <w:pPr>
        <w:spacing w:line="560" w:lineRule="exact"/>
        <w:ind w:firstLine="640" w:firstLineChars="200"/>
        <w:rPr>
          <w:rFonts w:hint="default" w:ascii="Times New Roman" w:hAnsi="Times New Roman" w:eastAsia="黑体" w:cs="Times New Roman"/>
          <w:color w:val="000000" w:themeColor="text1"/>
          <w:sz w:val="32"/>
          <w:szCs w:val="44"/>
          <w:highlight w:val="none"/>
          <w14:textFill>
            <w14:solidFill>
              <w14:schemeClr w14:val="tx1"/>
            </w14:solidFill>
          </w14:textFill>
        </w:rPr>
      </w:pPr>
      <w:r>
        <w:rPr>
          <w:rFonts w:hint="default" w:ascii="Times New Roman" w:hAnsi="Times New Roman" w:eastAsia="黑体" w:cs="Times New Roman"/>
          <w:color w:val="000000" w:themeColor="text1"/>
          <w:sz w:val="32"/>
          <w:szCs w:val="44"/>
          <w:highlight w:val="none"/>
          <w14:textFill>
            <w14:solidFill>
              <w14:schemeClr w14:val="tx1"/>
            </w14:solidFill>
          </w14:textFill>
        </w:rPr>
        <w:t>二、监测对象</w:t>
      </w:r>
    </w:p>
    <w:p w14:paraId="739FC516">
      <w:pPr>
        <w:spacing w:line="560" w:lineRule="exact"/>
        <w:ind w:firstLine="640" w:firstLineChars="200"/>
        <w:rPr>
          <w:rFonts w:hint="default" w:ascii="Times New Roman" w:hAnsi="Times New Roman" w:eastAsia="仿宋_GB2312" w:cs="Times New Roman"/>
          <w:color w:val="000000" w:themeColor="text1"/>
          <w:sz w:val="32"/>
          <w:szCs w:val="44"/>
          <w:highlight w:val="none"/>
          <w14:textFill>
            <w14:solidFill>
              <w14:schemeClr w14:val="tx1"/>
            </w14:solidFill>
          </w14:textFill>
        </w:rPr>
      </w:pPr>
      <w:r>
        <w:rPr>
          <w:rFonts w:hint="default" w:ascii="Times New Roman" w:hAnsi="Times New Roman" w:eastAsia="仿宋_GB2312" w:cs="Times New Roman"/>
          <w:color w:val="000000" w:themeColor="text1"/>
          <w:sz w:val="32"/>
          <w:szCs w:val="44"/>
          <w:highlight w:val="none"/>
          <w14:textFill>
            <w14:solidFill>
              <w14:schemeClr w14:val="tx1"/>
            </w14:solidFill>
          </w14:textFill>
        </w:rPr>
        <w:t>监测范围包括教育行政部门审批并备案的高等职业学校以及本科层次职业学校开设的高职专科专业。</w:t>
      </w:r>
    </w:p>
    <w:p w14:paraId="2EF1F8D1">
      <w:pPr>
        <w:spacing w:line="560" w:lineRule="exact"/>
        <w:ind w:firstLine="640" w:firstLineChars="200"/>
        <w:rPr>
          <w:rFonts w:hint="default" w:ascii="Times New Roman" w:hAnsi="Times New Roman" w:eastAsia="仿宋_GB2312" w:cs="Times New Roman"/>
          <w:color w:val="000000" w:themeColor="text1"/>
          <w:sz w:val="32"/>
          <w:szCs w:val="44"/>
          <w:highlight w:val="none"/>
          <w14:textFill>
            <w14:solidFill>
              <w14:schemeClr w14:val="tx1"/>
            </w14:solidFill>
          </w14:textFill>
        </w:rPr>
      </w:pPr>
      <w:r>
        <w:rPr>
          <w:rFonts w:hint="default" w:ascii="Times New Roman" w:hAnsi="Times New Roman" w:eastAsia="黑体" w:cs="Times New Roman"/>
          <w:color w:val="000000" w:themeColor="text1"/>
          <w:sz w:val="32"/>
          <w:szCs w:val="44"/>
          <w:highlight w:val="none"/>
          <w14:textFill>
            <w14:solidFill>
              <w14:schemeClr w14:val="tx1"/>
            </w14:solidFill>
          </w14:textFill>
        </w:rPr>
        <w:t>三、监测方法</w:t>
      </w:r>
    </w:p>
    <w:p w14:paraId="68E3A262">
      <w:pPr>
        <w:spacing w:line="560" w:lineRule="exact"/>
        <w:ind w:firstLine="640" w:firstLineChars="200"/>
        <w:rPr>
          <w:rFonts w:hint="eastAsia" w:ascii="Times New Roman" w:hAnsi="Times New Roman" w:eastAsia="仿宋_GB2312" w:cs="Times New Roman"/>
          <w:color w:val="000000" w:themeColor="text1"/>
          <w:sz w:val="32"/>
          <w:szCs w:val="44"/>
          <w:highlight w:val="none"/>
          <w:lang w:eastAsia="zh-CN"/>
          <w14:textFill>
            <w14:solidFill>
              <w14:schemeClr w14:val="tx1"/>
            </w14:solidFill>
          </w14:textFill>
        </w:rPr>
        <w:sectPr>
          <w:footerReference r:id="rId3" w:type="default"/>
          <w:pgSz w:w="11906" w:h="16838"/>
          <w:pgMar w:top="1440" w:right="1800" w:bottom="1440" w:left="1800" w:header="851" w:footer="992" w:gutter="0"/>
          <w:cols w:space="0" w:num="1"/>
          <w:docGrid w:type="lines" w:linePitch="315" w:charSpace="0"/>
        </w:sectPr>
      </w:pPr>
      <w:r>
        <w:rPr>
          <w:rFonts w:hint="default" w:ascii="Times New Roman" w:hAnsi="Times New Roman" w:eastAsia="仿宋_GB2312" w:cs="Times New Roman"/>
          <w:color w:val="000000" w:themeColor="text1"/>
          <w:sz w:val="32"/>
          <w:szCs w:val="44"/>
          <w:highlight w:val="none"/>
          <w14:textFill>
            <w14:solidFill>
              <w14:schemeClr w14:val="tx1"/>
            </w14:solidFill>
          </w14:textFill>
        </w:rPr>
        <w:t>省教育厅</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依据</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全国高等职业学校人才培养状态数据采集与管理平台，对46个</w:t>
      </w:r>
      <w:r>
        <w:rPr>
          <w:rFonts w:hint="eastAsia" w:ascii="Times New Roman" w:hAnsi="Times New Roman" w:eastAsia="仿宋_GB2312" w:cs="Times New Roman"/>
          <w:color w:val="000000" w:themeColor="text1"/>
          <w:sz w:val="32"/>
          <w:szCs w:val="44"/>
          <w:highlight w:val="none"/>
          <w:lang w:eastAsia="zh-CN"/>
          <w14:textFill>
            <w14:solidFill>
              <w14:schemeClr w14:val="tx1"/>
            </w14:solidFill>
          </w14:textFill>
        </w:rPr>
        <w:t>监测点</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实施</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常态</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化</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监测，</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并据此编制</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全省及参评学校《高等职业学校办学条件监测报告》。</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针对</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基本监测点，</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重点</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研判其达成情况，对学校办学条件基本状态做出判</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定</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，为学校举办方保障办学</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“门槛”</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、改善办学条件提供依据；</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针对</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动态监测点，</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主要</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进行监测预警，不作达成评判，</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旨在</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为科学决策提供数据支撑和参考</w:t>
      </w:r>
      <w:r>
        <w:rPr>
          <w:rFonts w:hint="eastAsia" w:ascii="Times New Roman" w:hAnsi="Times New Roman" w:eastAsia="仿宋_GB2312" w:cs="Times New Roman"/>
          <w:color w:val="000000" w:themeColor="text1"/>
          <w:sz w:val="32"/>
          <w:szCs w:val="44"/>
          <w:highlight w:val="none"/>
          <w:lang w:val="en-US" w:eastAsia="zh-CN"/>
          <w14:textFill>
            <w14:solidFill>
              <w14:schemeClr w14:val="tx1"/>
            </w14:solidFill>
          </w14:textFill>
        </w:rPr>
        <w:t>依据</w:t>
      </w:r>
      <w:r>
        <w:rPr>
          <w:rFonts w:hint="default" w:ascii="Times New Roman" w:hAnsi="Times New Roman" w:eastAsia="仿宋_GB2312" w:cs="Times New Roman"/>
          <w:color w:val="000000" w:themeColor="text1"/>
          <w:sz w:val="32"/>
          <w:szCs w:val="44"/>
          <w:highlight w:val="none"/>
          <w14:textFill>
            <w14:solidFill>
              <w14:schemeClr w14:val="tx1"/>
            </w14:solidFill>
          </w14:textFill>
        </w:rPr>
        <w:t>。</w:t>
      </w:r>
    </w:p>
    <w:p w14:paraId="2034424F">
      <w:pPr>
        <w:jc w:val="center"/>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四、江苏省高等职业学校办学条件监测指标</w:t>
      </w:r>
    </w:p>
    <w:p w14:paraId="4C1979BF">
      <w:pPr>
        <w:rPr>
          <w:rFonts w:hint="default" w:ascii="Times New Roman" w:hAnsi="Times New Roman" w:cs="Times New Roman"/>
          <w:color w:val="000000" w:themeColor="text1"/>
          <w:highlight w:val="none"/>
          <w14:textFill>
            <w14:solidFill>
              <w14:schemeClr w14:val="tx1"/>
            </w14:solidFill>
          </w14:textFill>
        </w:rPr>
      </w:pPr>
    </w:p>
    <w:tbl>
      <w:tblPr>
        <w:tblStyle w:val="9"/>
        <w:tblW w:w="13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32"/>
        <w:gridCol w:w="2590"/>
        <w:gridCol w:w="4952"/>
        <w:gridCol w:w="2310"/>
        <w:gridCol w:w="1889"/>
      </w:tblGrid>
      <w:tr w14:paraId="3C5E3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3" w:hRule="atLeast"/>
          <w:tblHeader/>
          <w:jc w:val="center"/>
        </w:trPr>
        <w:tc>
          <w:tcPr>
            <w:tcW w:w="1332" w:type="dxa"/>
            <w:vAlign w:val="center"/>
          </w:tcPr>
          <w:p w14:paraId="069E35A5">
            <w:pPr>
              <w:spacing w:line="400" w:lineRule="exact"/>
              <w:jc w:val="center"/>
              <w:rPr>
                <w:rFonts w:hint="default" w:ascii="Times New Roman" w:hAnsi="Times New Roman" w:eastAsia="黑体" w:cs="Times New Roman"/>
                <w:color w:val="000000" w:themeColor="text1"/>
                <w:highlight w:val="none"/>
                <w14:textFill>
                  <w14:solidFill>
                    <w14:schemeClr w14:val="tx1"/>
                  </w14:solidFill>
                </w14:textFill>
              </w:rPr>
            </w:pPr>
            <w:r>
              <w:rPr>
                <w:rFonts w:hint="default" w:ascii="Times New Roman" w:hAnsi="Times New Roman" w:eastAsia="黑体" w:cs="Times New Roman"/>
                <w:color w:val="000000" w:themeColor="text1"/>
                <w:highlight w:val="none"/>
                <w14:textFill>
                  <w14:solidFill>
                    <w14:schemeClr w14:val="tx1"/>
                  </w14:solidFill>
                </w14:textFill>
              </w:rPr>
              <w:t>一级指标</w:t>
            </w:r>
          </w:p>
        </w:tc>
        <w:tc>
          <w:tcPr>
            <w:tcW w:w="2590" w:type="dxa"/>
            <w:vAlign w:val="center"/>
          </w:tcPr>
          <w:p w14:paraId="0F44F58D">
            <w:pPr>
              <w:spacing w:line="400" w:lineRule="exact"/>
              <w:jc w:val="center"/>
              <w:rPr>
                <w:rFonts w:hint="default" w:ascii="Times New Roman" w:hAnsi="Times New Roman" w:eastAsia="黑体" w:cs="Times New Roman"/>
                <w:color w:val="000000" w:themeColor="text1"/>
                <w:highlight w:val="none"/>
                <w14:textFill>
                  <w14:solidFill>
                    <w14:schemeClr w14:val="tx1"/>
                  </w14:solidFill>
                </w14:textFill>
              </w:rPr>
            </w:pPr>
            <w:r>
              <w:rPr>
                <w:rFonts w:hint="default" w:ascii="Times New Roman" w:hAnsi="Times New Roman" w:eastAsia="黑体" w:cs="Times New Roman"/>
                <w:color w:val="000000" w:themeColor="text1"/>
                <w:highlight w:val="none"/>
                <w14:textFill>
                  <w14:solidFill>
                    <w14:schemeClr w14:val="tx1"/>
                  </w14:solidFill>
                </w14:textFill>
              </w:rPr>
              <w:t>二级指标</w:t>
            </w:r>
          </w:p>
        </w:tc>
        <w:tc>
          <w:tcPr>
            <w:tcW w:w="4952" w:type="dxa"/>
            <w:vAlign w:val="center"/>
          </w:tcPr>
          <w:p w14:paraId="482EB804">
            <w:pPr>
              <w:spacing w:line="400" w:lineRule="exact"/>
              <w:jc w:val="center"/>
              <w:rPr>
                <w:rFonts w:hint="default" w:ascii="Times New Roman" w:hAnsi="Times New Roman" w:eastAsia="黑体" w:cs="Times New Roman"/>
                <w:color w:val="000000" w:themeColor="text1"/>
                <w:highlight w:val="none"/>
                <w14:textFill>
                  <w14:solidFill>
                    <w14:schemeClr w14:val="tx1"/>
                  </w14:solidFill>
                </w14:textFill>
              </w:rPr>
            </w:pPr>
            <w:r>
              <w:rPr>
                <w:rFonts w:hint="default" w:ascii="Times New Roman" w:hAnsi="Times New Roman" w:eastAsia="黑体" w:cs="Times New Roman"/>
                <w:color w:val="000000" w:themeColor="text1"/>
                <w:highlight w:val="none"/>
                <w14:textFill>
                  <w14:solidFill>
                    <w14:schemeClr w14:val="tx1"/>
                  </w14:solidFill>
                </w14:textFill>
              </w:rPr>
              <w:t>监测点</w:t>
            </w:r>
          </w:p>
        </w:tc>
        <w:tc>
          <w:tcPr>
            <w:tcW w:w="2310" w:type="dxa"/>
            <w:vAlign w:val="center"/>
          </w:tcPr>
          <w:p w14:paraId="05BEB418">
            <w:pPr>
              <w:spacing w:line="400" w:lineRule="exact"/>
              <w:jc w:val="center"/>
              <w:rPr>
                <w:rFonts w:hint="default" w:ascii="Times New Roman" w:hAnsi="Times New Roman" w:eastAsia="黑体" w:cs="Times New Roman"/>
                <w:color w:val="000000" w:themeColor="text1"/>
                <w:highlight w:val="none"/>
                <w14:textFill>
                  <w14:solidFill>
                    <w14:schemeClr w14:val="tx1"/>
                  </w14:solidFill>
                </w14:textFill>
              </w:rPr>
            </w:pPr>
            <w:r>
              <w:rPr>
                <w:rFonts w:hint="default" w:ascii="Times New Roman" w:hAnsi="Times New Roman" w:eastAsia="黑体" w:cs="Times New Roman"/>
                <w:color w:val="000000" w:themeColor="text1"/>
                <w:highlight w:val="none"/>
                <w14:textFill>
                  <w14:solidFill>
                    <w14:schemeClr w14:val="tx1"/>
                  </w14:solidFill>
                </w14:textFill>
              </w:rPr>
              <w:t>单位</w:t>
            </w:r>
          </w:p>
        </w:tc>
        <w:tc>
          <w:tcPr>
            <w:tcW w:w="1889" w:type="dxa"/>
            <w:vAlign w:val="center"/>
          </w:tcPr>
          <w:p w14:paraId="655B3CE3">
            <w:pPr>
              <w:spacing w:line="400" w:lineRule="exact"/>
              <w:jc w:val="center"/>
              <w:rPr>
                <w:rFonts w:hint="default" w:ascii="Times New Roman" w:hAnsi="Times New Roman" w:eastAsia="黑体" w:cs="Times New Roman"/>
                <w:color w:val="000000" w:themeColor="text1"/>
                <w:highlight w:val="none"/>
                <w14:textFill>
                  <w14:solidFill>
                    <w14:schemeClr w14:val="tx1"/>
                  </w14:solidFill>
                </w14:textFill>
              </w:rPr>
            </w:pPr>
            <w:r>
              <w:rPr>
                <w:rFonts w:hint="default" w:ascii="Times New Roman" w:hAnsi="Times New Roman" w:eastAsia="黑体" w:cs="Times New Roman"/>
                <w:color w:val="000000" w:themeColor="text1"/>
                <w:highlight w:val="none"/>
                <w14:textFill>
                  <w14:solidFill>
                    <w14:schemeClr w14:val="tx1"/>
                  </w14:solidFill>
                </w14:textFill>
              </w:rPr>
              <w:t>标准值</w:t>
            </w:r>
          </w:p>
        </w:tc>
      </w:tr>
      <w:tr w14:paraId="04ABF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restart"/>
            <w:vAlign w:val="center"/>
          </w:tcPr>
          <w:p w14:paraId="67AA14DA">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校园建设</w:t>
            </w:r>
          </w:p>
        </w:tc>
        <w:tc>
          <w:tcPr>
            <w:tcW w:w="2590" w:type="dxa"/>
            <w:vMerge w:val="restart"/>
            <w:vAlign w:val="center"/>
          </w:tcPr>
          <w:p w14:paraId="4F22554D">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1.校园占地</w:t>
            </w:r>
          </w:p>
        </w:tc>
        <w:tc>
          <w:tcPr>
            <w:tcW w:w="4952" w:type="dxa"/>
            <w:vAlign w:val="center"/>
          </w:tcPr>
          <w:p w14:paraId="5D78EBCE">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1.校园占地面积</w:t>
            </w:r>
          </w:p>
        </w:tc>
        <w:tc>
          <w:tcPr>
            <w:tcW w:w="2310" w:type="dxa"/>
            <w:vAlign w:val="center"/>
          </w:tcPr>
          <w:p w14:paraId="2C620B59">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亩</w:t>
            </w:r>
          </w:p>
        </w:tc>
        <w:tc>
          <w:tcPr>
            <w:tcW w:w="1889" w:type="dxa"/>
            <w:vAlign w:val="center"/>
          </w:tcPr>
          <w:p w14:paraId="49587394">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sz w:val="28"/>
                <w:szCs w:val="22"/>
                <w:highlight w:val="none"/>
              </w:rPr>
              <w:t>≧</w:t>
            </w:r>
            <w:r>
              <w:rPr>
                <w:rFonts w:hint="default" w:ascii="Times New Roman" w:hAnsi="Times New Roman" w:eastAsia="仿宋_GB2312" w:cs="Times New Roman"/>
                <w:color w:val="000000" w:themeColor="text1"/>
                <w:sz w:val="28"/>
                <w:szCs w:val="22"/>
                <w:highlight w:val="none"/>
                <w14:textFill>
                  <w14:solidFill>
                    <w14:schemeClr w14:val="tx1"/>
                  </w14:solidFill>
                </w14:textFill>
              </w:rPr>
              <w:t>150</w:t>
            </w:r>
          </w:p>
        </w:tc>
      </w:tr>
      <w:tr w14:paraId="5C6BA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2A7F90D0">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09C80EE1">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32CFB6B8">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2.学校产权面积*</w:t>
            </w:r>
          </w:p>
        </w:tc>
        <w:tc>
          <w:tcPr>
            <w:tcW w:w="2310" w:type="dxa"/>
            <w:vAlign w:val="center"/>
          </w:tcPr>
          <w:p w14:paraId="52EA6E60">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平方米</w:t>
            </w:r>
          </w:p>
        </w:tc>
        <w:tc>
          <w:tcPr>
            <w:tcW w:w="1889" w:type="dxa"/>
            <w:vAlign w:val="center"/>
          </w:tcPr>
          <w:p w14:paraId="5DDC6888">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051F5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6E218AF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6DF34255">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1CFFA179">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3.非学校产权面积（独立使用）*</w:t>
            </w:r>
          </w:p>
        </w:tc>
        <w:tc>
          <w:tcPr>
            <w:tcW w:w="2310" w:type="dxa"/>
            <w:vAlign w:val="center"/>
          </w:tcPr>
          <w:p w14:paraId="3323A735">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平方米</w:t>
            </w:r>
          </w:p>
        </w:tc>
        <w:tc>
          <w:tcPr>
            <w:tcW w:w="1889" w:type="dxa"/>
            <w:vAlign w:val="center"/>
          </w:tcPr>
          <w:p w14:paraId="48D8B3EB">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49684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629329C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312CBC80">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55379094">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4.非学校产权面积（共同使用）*</w:t>
            </w:r>
          </w:p>
        </w:tc>
        <w:tc>
          <w:tcPr>
            <w:tcW w:w="2310" w:type="dxa"/>
            <w:vAlign w:val="center"/>
          </w:tcPr>
          <w:p w14:paraId="59EAAC64">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平方米</w:t>
            </w:r>
          </w:p>
        </w:tc>
        <w:tc>
          <w:tcPr>
            <w:tcW w:w="1889" w:type="dxa"/>
            <w:vAlign w:val="center"/>
          </w:tcPr>
          <w:p w14:paraId="6BB37D46">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57F6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4D16DD59">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2CE33AF8">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3D7CDFAA">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5.生均占地面积</w:t>
            </w:r>
          </w:p>
        </w:tc>
        <w:tc>
          <w:tcPr>
            <w:tcW w:w="2310" w:type="dxa"/>
            <w:vAlign w:val="center"/>
          </w:tcPr>
          <w:p w14:paraId="2BA977F2">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平方米/生</w:t>
            </w:r>
          </w:p>
        </w:tc>
        <w:tc>
          <w:tcPr>
            <w:tcW w:w="1889" w:type="dxa"/>
            <w:vAlign w:val="center"/>
          </w:tcPr>
          <w:p w14:paraId="1D74E7D8">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41175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0C65A4F6">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65D705A7">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09621AD2">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6.生均体育场地设施面积</w:t>
            </w:r>
          </w:p>
        </w:tc>
        <w:tc>
          <w:tcPr>
            <w:tcW w:w="2310" w:type="dxa"/>
            <w:vAlign w:val="center"/>
          </w:tcPr>
          <w:p w14:paraId="361FEBCF">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平方米/生</w:t>
            </w:r>
          </w:p>
        </w:tc>
        <w:tc>
          <w:tcPr>
            <w:tcW w:w="1889" w:type="dxa"/>
            <w:vAlign w:val="center"/>
          </w:tcPr>
          <w:p w14:paraId="7F94D0CF">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6D79A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632EFBD4">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Align w:val="center"/>
          </w:tcPr>
          <w:p w14:paraId="58D15CC0">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2.生均宿舍</w:t>
            </w:r>
          </w:p>
        </w:tc>
        <w:tc>
          <w:tcPr>
            <w:tcW w:w="4952" w:type="dxa"/>
            <w:vAlign w:val="center"/>
          </w:tcPr>
          <w:p w14:paraId="02D21DC3">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7.生均学生宿舍面积</w:t>
            </w:r>
          </w:p>
        </w:tc>
        <w:tc>
          <w:tcPr>
            <w:tcW w:w="2310" w:type="dxa"/>
            <w:vAlign w:val="center"/>
          </w:tcPr>
          <w:p w14:paraId="01353CD6">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平方米/生</w:t>
            </w:r>
          </w:p>
        </w:tc>
        <w:tc>
          <w:tcPr>
            <w:tcW w:w="1889" w:type="dxa"/>
            <w:vAlign w:val="center"/>
          </w:tcPr>
          <w:p w14:paraId="3389EA5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sz w:val="28"/>
                <w:szCs w:val="22"/>
                <w:highlight w:val="none"/>
              </w:rPr>
              <w:t>≧6.5</w:t>
            </w:r>
          </w:p>
        </w:tc>
      </w:tr>
      <w:tr w14:paraId="5660E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10AFE7C3">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Align w:val="center"/>
          </w:tcPr>
          <w:p w14:paraId="74CE2180">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3.生均教学行政用房</w:t>
            </w:r>
          </w:p>
        </w:tc>
        <w:tc>
          <w:tcPr>
            <w:tcW w:w="4952" w:type="dxa"/>
            <w:vAlign w:val="center"/>
          </w:tcPr>
          <w:p w14:paraId="2C9A9BBA">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8.生均教学行政用房面积</w:t>
            </w:r>
          </w:p>
        </w:tc>
        <w:tc>
          <w:tcPr>
            <w:tcW w:w="2310" w:type="dxa"/>
            <w:vAlign w:val="center"/>
          </w:tcPr>
          <w:p w14:paraId="394EC18E">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平方米/生</w:t>
            </w:r>
          </w:p>
        </w:tc>
        <w:tc>
          <w:tcPr>
            <w:tcW w:w="1889" w:type="dxa"/>
            <w:vAlign w:val="center"/>
          </w:tcPr>
          <w:p w14:paraId="18618F85">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6E9F8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restart"/>
            <w:vAlign w:val="center"/>
          </w:tcPr>
          <w:p w14:paraId="7D35A13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0AB8B904">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0216D1E3">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2256336B">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1A9129B9">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16AD987C">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教学条件</w:t>
            </w:r>
          </w:p>
          <w:p w14:paraId="3C1EFFC2">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7E823F2C">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662D63D9">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22866CB0">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3227D6E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5CD25838">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29FC1F3A">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教学条件</w:t>
            </w:r>
          </w:p>
        </w:tc>
        <w:tc>
          <w:tcPr>
            <w:tcW w:w="2590" w:type="dxa"/>
            <w:vMerge w:val="restart"/>
            <w:vAlign w:val="center"/>
          </w:tcPr>
          <w:p w14:paraId="7E395161">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4.图书资源</w:t>
            </w:r>
          </w:p>
        </w:tc>
        <w:tc>
          <w:tcPr>
            <w:tcW w:w="4952" w:type="dxa"/>
            <w:vAlign w:val="center"/>
          </w:tcPr>
          <w:p w14:paraId="3DCB7414">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9.图书资源总量*</w:t>
            </w:r>
          </w:p>
        </w:tc>
        <w:tc>
          <w:tcPr>
            <w:tcW w:w="2310" w:type="dxa"/>
            <w:vAlign w:val="center"/>
          </w:tcPr>
          <w:p w14:paraId="077B7B82">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册</w:t>
            </w:r>
          </w:p>
        </w:tc>
        <w:tc>
          <w:tcPr>
            <w:tcW w:w="1889" w:type="dxa"/>
            <w:vAlign w:val="center"/>
          </w:tcPr>
          <w:p w14:paraId="636D4F8A">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6F595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32" w:type="dxa"/>
            <w:vMerge w:val="continue"/>
            <w:vAlign w:val="center"/>
          </w:tcPr>
          <w:p w14:paraId="621F0C8B">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15781CAA">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1653375F">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10.其中：纸质图书总册数*</w:t>
            </w:r>
          </w:p>
        </w:tc>
        <w:tc>
          <w:tcPr>
            <w:tcW w:w="2310" w:type="dxa"/>
            <w:vAlign w:val="center"/>
          </w:tcPr>
          <w:p w14:paraId="51B44F38">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册</w:t>
            </w:r>
          </w:p>
        </w:tc>
        <w:tc>
          <w:tcPr>
            <w:tcW w:w="1889" w:type="dxa"/>
            <w:vAlign w:val="center"/>
          </w:tcPr>
          <w:p w14:paraId="43FF0E07">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23DE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47ACA2B4">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1C5CDD52">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29BC033B">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11.其中：数字资源量*</w:t>
            </w:r>
          </w:p>
        </w:tc>
        <w:tc>
          <w:tcPr>
            <w:tcW w:w="2310" w:type="dxa"/>
            <w:vAlign w:val="center"/>
          </w:tcPr>
          <w:p w14:paraId="3399D2C9">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册</w:t>
            </w:r>
          </w:p>
        </w:tc>
        <w:tc>
          <w:tcPr>
            <w:tcW w:w="1889" w:type="dxa"/>
            <w:vAlign w:val="center"/>
          </w:tcPr>
          <w:p w14:paraId="3871C002">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45E03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5888D16A">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09A2F3AC">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58BFF268">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12.生均图书</w:t>
            </w:r>
          </w:p>
        </w:tc>
        <w:tc>
          <w:tcPr>
            <w:tcW w:w="2310" w:type="dxa"/>
            <w:vAlign w:val="center"/>
          </w:tcPr>
          <w:p w14:paraId="50BF649E">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册/生</w:t>
            </w:r>
          </w:p>
        </w:tc>
        <w:tc>
          <w:tcPr>
            <w:tcW w:w="1889" w:type="dxa"/>
            <w:vAlign w:val="center"/>
          </w:tcPr>
          <w:p w14:paraId="295495B0">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5030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atLeast"/>
          <w:jc w:val="center"/>
        </w:trPr>
        <w:tc>
          <w:tcPr>
            <w:tcW w:w="1332" w:type="dxa"/>
            <w:vMerge w:val="continue"/>
            <w:vAlign w:val="center"/>
          </w:tcPr>
          <w:p w14:paraId="6FC66635">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1C931EB8">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5CB985A3">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13.生均年进书量</w:t>
            </w:r>
          </w:p>
        </w:tc>
        <w:tc>
          <w:tcPr>
            <w:tcW w:w="2310" w:type="dxa"/>
            <w:vAlign w:val="center"/>
          </w:tcPr>
          <w:p w14:paraId="19AA091D">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册/生</w:t>
            </w:r>
          </w:p>
        </w:tc>
        <w:tc>
          <w:tcPr>
            <w:tcW w:w="1889" w:type="dxa"/>
            <w:vAlign w:val="center"/>
          </w:tcPr>
          <w:p w14:paraId="54C9343B">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6A2D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atLeast"/>
          <w:jc w:val="center"/>
        </w:trPr>
        <w:tc>
          <w:tcPr>
            <w:tcW w:w="1332" w:type="dxa"/>
            <w:vMerge w:val="continue"/>
            <w:vAlign w:val="center"/>
          </w:tcPr>
          <w:p w14:paraId="42E28DFB">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restart"/>
            <w:vAlign w:val="center"/>
          </w:tcPr>
          <w:p w14:paraId="42E4FBD2">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5.信息化建设</w:t>
            </w:r>
          </w:p>
        </w:tc>
        <w:tc>
          <w:tcPr>
            <w:tcW w:w="4952" w:type="dxa"/>
            <w:vAlign w:val="center"/>
          </w:tcPr>
          <w:p w14:paraId="47F93057">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14.百名学生配教学用计算机台数</w:t>
            </w:r>
          </w:p>
        </w:tc>
        <w:tc>
          <w:tcPr>
            <w:tcW w:w="2310" w:type="dxa"/>
            <w:vAlign w:val="center"/>
          </w:tcPr>
          <w:p w14:paraId="31023CE2">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台</w:t>
            </w:r>
          </w:p>
        </w:tc>
        <w:tc>
          <w:tcPr>
            <w:tcW w:w="1889" w:type="dxa"/>
            <w:vAlign w:val="center"/>
          </w:tcPr>
          <w:p w14:paraId="4F4D9A56">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≧8</w:t>
            </w:r>
          </w:p>
        </w:tc>
      </w:tr>
      <w:tr w14:paraId="4AE0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jc w:val="center"/>
        </w:trPr>
        <w:tc>
          <w:tcPr>
            <w:tcW w:w="1332" w:type="dxa"/>
            <w:vMerge w:val="continue"/>
            <w:vAlign w:val="center"/>
          </w:tcPr>
          <w:p w14:paraId="0ABCDFE7">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055D8A34">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213A89E8">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15.接入互联网出口带宽</w:t>
            </w:r>
          </w:p>
        </w:tc>
        <w:tc>
          <w:tcPr>
            <w:tcW w:w="2310" w:type="dxa"/>
            <w:vAlign w:val="center"/>
          </w:tcPr>
          <w:p w14:paraId="12E4DBD3">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Mbps</w:t>
            </w:r>
          </w:p>
        </w:tc>
        <w:tc>
          <w:tcPr>
            <w:tcW w:w="1889" w:type="dxa"/>
            <w:vAlign w:val="center"/>
          </w:tcPr>
          <w:p w14:paraId="7265608F">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sz w:val="28"/>
                <w:szCs w:val="22"/>
                <w:highlight w:val="none"/>
              </w:rPr>
              <w:t>≧</w:t>
            </w:r>
            <w:r>
              <w:rPr>
                <w:rFonts w:hint="default" w:ascii="Times New Roman" w:hAnsi="Times New Roman" w:eastAsia="仿宋_GB2312" w:cs="Times New Roman"/>
                <w:color w:val="000000" w:themeColor="text1"/>
                <w:sz w:val="28"/>
                <w:szCs w:val="22"/>
                <w:highlight w:val="none"/>
                <w14:textFill>
                  <w14:solidFill>
                    <w14:schemeClr w14:val="tx1"/>
                  </w14:solidFill>
                </w14:textFill>
              </w:rPr>
              <w:t>1000</w:t>
            </w:r>
          </w:p>
        </w:tc>
      </w:tr>
      <w:tr w14:paraId="4AE0B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6F39C3F7">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025A6B3A">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5A283EFB">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16.无线网络覆盖*</w:t>
            </w:r>
          </w:p>
        </w:tc>
        <w:tc>
          <w:tcPr>
            <w:tcW w:w="2310" w:type="dxa"/>
            <w:vAlign w:val="center"/>
          </w:tcPr>
          <w:p w14:paraId="25BF1DB0">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w:t>
            </w:r>
          </w:p>
        </w:tc>
        <w:tc>
          <w:tcPr>
            <w:tcW w:w="1889" w:type="dxa"/>
            <w:vAlign w:val="center"/>
          </w:tcPr>
          <w:p w14:paraId="735A8A18">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5167B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049C4590">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restart"/>
            <w:vAlign w:val="center"/>
          </w:tcPr>
          <w:p w14:paraId="6557343B">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6.仪器设备</w:t>
            </w:r>
          </w:p>
        </w:tc>
        <w:tc>
          <w:tcPr>
            <w:tcW w:w="4952" w:type="dxa"/>
            <w:vAlign w:val="center"/>
          </w:tcPr>
          <w:p w14:paraId="05FD0A6F">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17.生均教学科研仪器设备值</w:t>
            </w:r>
          </w:p>
        </w:tc>
        <w:tc>
          <w:tcPr>
            <w:tcW w:w="2310" w:type="dxa"/>
            <w:vAlign w:val="center"/>
          </w:tcPr>
          <w:p w14:paraId="426F17F5">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元/生</w:t>
            </w:r>
          </w:p>
        </w:tc>
        <w:tc>
          <w:tcPr>
            <w:tcW w:w="1889" w:type="dxa"/>
            <w:vAlign w:val="center"/>
          </w:tcPr>
          <w:p w14:paraId="34C012EC">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7D89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0DAF8FA8">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7C3721CC">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1FCD5AD5">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18.当年新增教学科研仪器设备所占比例</w:t>
            </w:r>
          </w:p>
        </w:tc>
        <w:tc>
          <w:tcPr>
            <w:tcW w:w="2310" w:type="dxa"/>
            <w:vAlign w:val="center"/>
          </w:tcPr>
          <w:p w14:paraId="49C7A78C">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w:t>
            </w:r>
          </w:p>
        </w:tc>
        <w:tc>
          <w:tcPr>
            <w:tcW w:w="1889" w:type="dxa"/>
            <w:vAlign w:val="center"/>
          </w:tcPr>
          <w:p w14:paraId="57A2E95A">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sz w:val="28"/>
                <w:szCs w:val="22"/>
                <w:highlight w:val="none"/>
              </w:rPr>
              <w:t>≧</w:t>
            </w:r>
            <w:r>
              <w:rPr>
                <w:rFonts w:hint="default" w:ascii="Times New Roman" w:hAnsi="Times New Roman" w:eastAsia="仿宋_GB2312" w:cs="Times New Roman"/>
                <w:color w:val="000000" w:themeColor="text1"/>
                <w:sz w:val="28"/>
                <w:szCs w:val="22"/>
                <w:highlight w:val="none"/>
                <w14:textFill>
                  <w14:solidFill>
                    <w14:schemeClr w14:val="tx1"/>
                  </w14:solidFill>
                </w14:textFill>
              </w:rPr>
              <w:t>10</w:t>
            </w:r>
          </w:p>
        </w:tc>
      </w:tr>
      <w:tr w14:paraId="7335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32" w:type="dxa"/>
            <w:vMerge w:val="continue"/>
            <w:vAlign w:val="center"/>
          </w:tcPr>
          <w:p w14:paraId="4320E7D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restart"/>
            <w:vAlign w:val="center"/>
          </w:tcPr>
          <w:p w14:paraId="68D746B8">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7.实训条件</w:t>
            </w:r>
          </w:p>
        </w:tc>
        <w:tc>
          <w:tcPr>
            <w:tcW w:w="4952" w:type="dxa"/>
            <w:vAlign w:val="center"/>
          </w:tcPr>
          <w:p w14:paraId="70777715">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19.校内实训基地数量*</w:t>
            </w:r>
          </w:p>
        </w:tc>
        <w:tc>
          <w:tcPr>
            <w:tcW w:w="2310" w:type="dxa"/>
            <w:vAlign w:val="center"/>
          </w:tcPr>
          <w:p w14:paraId="278EC0BE">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个</w:t>
            </w:r>
          </w:p>
        </w:tc>
        <w:tc>
          <w:tcPr>
            <w:tcW w:w="1889" w:type="dxa"/>
            <w:vAlign w:val="center"/>
          </w:tcPr>
          <w:p w14:paraId="33EFAA67">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642F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21AF92D5">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4045FA29">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449662BD">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20.其中：省级以上实训基地数*</w:t>
            </w:r>
          </w:p>
        </w:tc>
        <w:tc>
          <w:tcPr>
            <w:tcW w:w="2310" w:type="dxa"/>
            <w:vAlign w:val="center"/>
          </w:tcPr>
          <w:p w14:paraId="27BBCCC7">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个</w:t>
            </w:r>
          </w:p>
        </w:tc>
        <w:tc>
          <w:tcPr>
            <w:tcW w:w="1889" w:type="dxa"/>
            <w:vAlign w:val="center"/>
          </w:tcPr>
          <w:p w14:paraId="7E219BDC">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10ED7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24C8ECED">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2E5FEBD8">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61005C02">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21.其中：虚拟仿真实训基地数*</w:t>
            </w:r>
          </w:p>
        </w:tc>
        <w:tc>
          <w:tcPr>
            <w:tcW w:w="2310" w:type="dxa"/>
            <w:vAlign w:val="center"/>
          </w:tcPr>
          <w:p w14:paraId="2B7470EF">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个</w:t>
            </w:r>
          </w:p>
        </w:tc>
        <w:tc>
          <w:tcPr>
            <w:tcW w:w="1889" w:type="dxa"/>
            <w:vAlign w:val="center"/>
          </w:tcPr>
          <w:p w14:paraId="62B401B0">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4488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5E0863FB">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76D54F08">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7676B170">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22.生均校内实训基地工位数*</w:t>
            </w:r>
          </w:p>
        </w:tc>
        <w:tc>
          <w:tcPr>
            <w:tcW w:w="2310" w:type="dxa"/>
            <w:vAlign w:val="center"/>
          </w:tcPr>
          <w:p w14:paraId="42C80EA5">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个</w:t>
            </w:r>
          </w:p>
        </w:tc>
        <w:tc>
          <w:tcPr>
            <w:tcW w:w="1889" w:type="dxa"/>
            <w:vAlign w:val="center"/>
          </w:tcPr>
          <w:p w14:paraId="49B82EFB">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5A68A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6F970105">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1198E86D">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17ACFBA1">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23.校外实训基地数量*</w:t>
            </w:r>
          </w:p>
        </w:tc>
        <w:tc>
          <w:tcPr>
            <w:tcW w:w="2310" w:type="dxa"/>
            <w:vAlign w:val="center"/>
          </w:tcPr>
          <w:p w14:paraId="5215CD12">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个</w:t>
            </w:r>
          </w:p>
        </w:tc>
        <w:tc>
          <w:tcPr>
            <w:tcW w:w="1889" w:type="dxa"/>
            <w:vAlign w:val="center"/>
          </w:tcPr>
          <w:p w14:paraId="6007EE06">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702EC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332" w:type="dxa"/>
            <w:vMerge w:val="continue"/>
            <w:vAlign w:val="center"/>
          </w:tcPr>
          <w:p w14:paraId="0C9E6044">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757B323D">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7F5523AE">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24.建立校外实训基地企业数*</w:t>
            </w:r>
          </w:p>
        </w:tc>
        <w:tc>
          <w:tcPr>
            <w:tcW w:w="2310" w:type="dxa"/>
            <w:vAlign w:val="center"/>
          </w:tcPr>
          <w:p w14:paraId="0F9B5BB0">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个</w:t>
            </w:r>
          </w:p>
        </w:tc>
        <w:tc>
          <w:tcPr>
            <w:tcW w:w="1889" w:type="dxa"/>
            <w:vAlign w:val="center"/>
          </w:tcPr>
          <w:p w14:paraId="71573F9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19AE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restart"/>
            <w:vAlign w:val="center"/>
          </w:tcPr>
          <w:p w14:paraId="7BA51079">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6752810D">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5DA2F513">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3F9BFC9F">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6F94AE36">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69450D9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4AB5B1DE">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0A7AF346">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师资队伍</w:t>
            </w:r>
          </w:p>
          <w:p w14:paraId="0D1EC265">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626D017D">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541DA8E2">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54FA257F">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305CE7BD">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6E00B3CC">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69BF9435">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685384B7">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23D65595">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1F47E713">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13F75BFC">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6F6997C3">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4C5543D2">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582C20B0">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师资队伍</w:t>
            </w:r>
          </w:p>
        </w:tc>
        <w:tc>
          <w:tcPr>
            <w:tcW w:w="2590" w:type="dxa"/>
            <w:vAlign w:val="center"/>
          </w:tcPr>
          <w:p w14:paraId="62F60A83">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8.专任教师配备</w:t>
            </w:r>
          </w:p>
        </w:tc>
        <w:tc>
          <w:tcPr>
            <w:tcW w:w="4952" w:type="dxa"/>
            <w:vAlign w:val="center"/>
          </w:tcPr>
          <w:p w14:paraId="27AFB833">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25.专任教师数量*</w:t>
            </w:r>
          </w:p>
        </w:tc>
        <w:tc>
          <w:tcPr>
            <w:tcW w:w="2310" w:type="dxa"/>
            <w:vAlign w:val="center"/>
          </w:tcPr>
          <w:p w14:paraId="344912B9">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人</w:t>
            </w:r>
          </w:p>
        </w:tc>
        <w:tc>
          <w:tcPr>
            <w:tcW w:w="1889" w:type="dxa"/>
            <w:vAlign w:val="center"/>
          </w:tcPr>
          <w:p w14:paraId="24F3DBBA">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14761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6402CB4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restart"/>
            <w:vAlign w:val="center"/>
          </w:tcPr>
          <w:p w14:paraId="0919D186">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9.兼职教师配备</w:t>
            </w:r>
          </w:p>
        </w:tc>
        <w:tc>
          <w:tcPr>
            <w:tcW w:w="4952" w:type="dxa"/>
            <w:vAlign w:val="center"/>
          </w:tcPr>
          <w:p w14:paraId="41C3FF49">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26.兼职教师数量*</w:t>
            </w:r>
          </w:p>
        </w:tc>
        <w:tc>
          <w:tcPr>
            <w:tcW w:w="2310" w:type="dxa"/>
            <w:vAlign w:val="center"/>
          </w:tcPr>
          <w:p w14:paraId="006355AC">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人</w:t>
            </w:r>
          </w:p>
        </w:tc>
        <w:tc>
          <w:tcPr>
            <w:tcW w:w="1889" w:type="dxa"/>
            <w:vAlign w:val="center"/>
          </w:tcPr>
          <w:p w14:paraId="452D80C6">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30CA4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7B86C51A">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10DC1E34">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447C0E4F">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27.其中：校外教师数量*</w:t>
            </w:r>
          </w:p>
        </w:tc>
        <w:tc>
          <w:tcPr>
            <w:tcW w:w="2310" w:type="dxa"/>
            <w:vAlign w:val="center"/>
          </w:tcPr>
          <w:p w14:paraId="04824A10">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人</w:t>
            </w:r>
          </w:p>
        </w:tc>
        <w:tc>
          <w:tcPr>
            <w:tcW w:w="1889" w:type="dxa"/>
            <w:vAlign w:val="center"/>
          </w:tcPr>
          <w:p w14:paraId="1357986E">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0DBAB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20B7E7FB">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0E196DBC">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3EF65AE6">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28.其中：行业导师数量*</w:t>
            </w:r>
          </w:p>
        </w:tc>
        <w:tc>
          <w:tcPr>
            <w:tcW w:w="2310" w:type="dxa"/>
            <w:vAlign w:val="center"/>
          </w:tcPr>
          <w:p w14:paraId="27F15025">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人</w:t>
            </w:r>
          </w:p>
        </w:tc>
        <w:tc>
          <w:tcPr>
            <w:tcW w:w="1889" w:type="dxa"/>
            <w:vAlign w:val="center"/>
          </w:tcPr>
          <w:p w14:paraId="04F8BC13">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7F78E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5D755EE7">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433FA5EF">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2AAC344E">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29.兼职教师占专兼职教师总数的比例</w:t>
            </w:r>
          </w:p>
        </w:tc>
        <w:tc>
          <w:tcPr>
            <w:tcW w:w="2310" w:type="dxa"/>
            <w:vAlign w:val="center"/>
          </w:tcPr>
          <w:p w14:paraId="145E91D3">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w:t>
            </w:r>
          </w:p>
        </w:tc>
        <w:tc>
          <w:tcPr>
            <w:tcW w:w="1889" w:type="dxa"/>
            <w:vAlign w:val="center"/>
          </w:tcPr>
          <w:p w14:paraId="30C22893">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≦30</w:t>
            </w:r>
          </w:p>
        </w:tc>
      </w:tr>
      <w:tr w14:paraId="7FC7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0" w:hRule="atLeast"/>
          <w:jc w:val="center"/>
        </w:trPr>
        <w:tc>
          <w:tcPr>
            <w:tcW w:w="1332" w:type="dxa"/>
            <w:vMerge w:val="continue"/>
            <w:vAlign w:val="center"/>
          </w:tcPr>
          <w:p w14:paraId="5E8010F4">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2150617F">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6008D280">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30.行业导师占专兼职教师总数的比例</w:t>
            </w:r>
          </w:p>
        </w:tc>
        <w:tc>
          <w:tcPr>
            <w:tcW w:w="2310" w:type="dxa"/>
            <w:vAlign w:val="center"/>
          </w:tcPr>
          <w:p w14:paraId="06ED57E4">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w:t>
            </w:r>
          </w:p>
        </w:tc>
        <w:tc>
          <w:tcPr>
            <w:tcW w:w="1889" w:type="dxa"/>
            <w:vAlign w:val="center"/>
          </w:tcPr>
          <w:p w14:paraId="23424AC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≧25</w:t>
            </w:r>
          </w:p>
          <w:p w14:paraId="26A2EB6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sz w:val="28"/>
                <w:szCs w:val="22"/>
                <w:highlight w:val="none"/>
              </w:rPr>
              <w:t>（</w:t>
            </w:r>
            <w:r>
              <w:rPr>
                <w:rFonts w:hint="default" w:ascii="Times New Roman" w:hAnsi="Times New Roman" w:eastAsia="仿宋_GB2312" w:cs="Times New Roman"/>
                <w:color w:val="000000" w:themeColor="text1"/>
                <w:sz w:val="28"/>
                <w:szCs w:val="22"/>
                <w:highlight w:val="none"/>
                <w14:textFill>
                  <w14:solidFill>
                    <w14:schemeClr w14:val="tx1"/>
                  </w14:solidFill>
                </w14:textFill>
              </w:rPr>
              <w:t>其中，</w:t>
            </w:r>
          </w:p>
          <w:p w14:paraId="05AA8E2C">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民办学校：</w:t>
            </w:r>
            <w:r>
              <w:rPr>
                <w:rFonts w:hint="default" w:ascii="Times New Roman" w:hAnsi="Times New Roman" w:eastAsia="仿宋_GB2312" w:cs="Times New Roman"/>
                <w:color w:val="000000"/>
                <w:sz w:val="28"/>
                <w:szCs w:val="22"/>
                <w:highlight w:val="none"/>
              </w:rPr>
              <w:t>≦</w:t>
            </w:r>
            <w:r>
              <w:rPr>
                <w:rFonts w:hint="default" w:ascii="Times New Roman" w:hAnsi="Times New Roman" w:eastAsia="仿宋_GB2312" w:cs="Times New Roman"/>
                <w:color w:val="000000" w:themeColor="text1"/>
                <w:sz w:val="28"/>
                <w:szCs w:val="22"/>
                <w:highlight w:val="none"/>
                <w14:textFill>
                  <w14:solidFill>
                    <w14:schemeClr w14:val="tx1"/>
                  </w14:solidFill>
                </w14:textFill>
              </w:rPr>
              <w:t>50</w:t>
            </w:r>
            <w:r>
              <w:rPr>
                <w:rFonts w:hint="default" w:ascii="Times New Roman" w:hAnsi="Times New Roman" w:eastAsia="仿宋_GB2312" w:cs="Times New Roman"/>
                <w:color w:val="000000"/>
                <w:sz w:val="28"/>
                <w:szCs w:val="22"/>
                <w:highlight w:val="none"/>
              </w:rPr>
              <w:t>）</w:t>
            </w:r>
          </w:p>
        </w:tc>
      </w:tr>
      <w:tr w14:paraId="55B8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29861F74">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0CB17925">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03FC183C">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31.行业导师承担专业课教学任务课时占学校专业课总课时比例</w:t>
            </w:r>
          </w:p>
        </w:tc>
        <w:tc>
          <w:tcPr>
            <w:tcW w:w="2310" w:type="dxa"/>
            <w:vAlign w:val="center"/>
          </w:tcPr>
          <w:p w14:paraId="0F59DBA3">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w:t>
            </w:r>
          </w:p>
        </w:tc>
        <w:tc>
          <w:tcPr>
            <w:tcW w:w="1889" w:type="dxa"/>
            <w:vAlign w:val="center"/>
          </w:tcPr>
          <w:p w14:paraId="41C3592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sz w:val="28"/>
                <w:szCs w:val="22"/>
                <w:highlight w:val="none"/>
              </w:rPr>
              <w:t>≧</w:t>
            </w:r>
            <w:r>
              <w:rPr>
                <w:rFonts w:hint="default" w:ascii="Times New Roman" w:hAnsi="Times New Roman" w:eastAsia="仿宋_GB2312" w:cs="Times New Roman"/>
                <w:color w:val="000000" w:themeColor="text1"/>
                <w:sz w:val="28"/>
                <w:szCs w:val="22"/>
                <w:highlight w:val="none"/>
                <w14:textFill>
                  <w14:solidFill>
                    <w14:schemeClr w14:val="tx1"/>
                  </w14:solidFill>
                </w14:textFill>
              </w:rPr>
              <w:t>20</w:t>
            </w:r>
          </w:p>
        </w:tc>
      </w:tr>
      <w:tr w14:paraId="07A8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4B8030E7">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Align w:val="center"/>
          </w:tcPr>
          <w:p w14:paraId="4E4782C2">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10.外籍教师配备</w:t>
            </w:r>
          </w:p>
        </w:tc>
        <w:tc>
          <w:tcPr>
            <w:tcW w:w="4952" w:type="dxa"/>
            <w:vAlign w:val="center"/>
          </w:tcPr>
          <w:p w14:paraId="07584528">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32.外籍教师数量*</w:t>
            </w:r>
          </w:p>
        </w:tc>
        <w:tc>
          <w:tcPr>
            <w:tcW w:w="2310" w:type="dxa"/>
            <w:vAlign w:val="center"/>
          </w:tcPr>
          <w:p w14:paraId="4D15E660">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人</w:t>
            </w:r>
          </w:p>
        </w:tc>
        <w:tc>
          <w:tcPr>
            <w:tcW w:w="1889" w:type="dxa"/>
            <w:vAlign w:val="center"/>
          </w:tcPr>
          <w:p w14:paraId="073A70D3">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46C0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2F5ABF90">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Align w:val="center"/>
          </w:tcPr>
          <w:p w14:paraId="41E6A71D">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11.生师比</w:t>
            </w:r>
          </w:p>
        </w:tc>
        <w:tc>
          <w:tcPr>
            <w:tcW w:w="4952" w:type="dxa"/>
            <w:vAlign w:val="center"/>
          </w:tcPr>
          <w:p w14:paraId="69CF793C">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33.生师比</w:t>
            </w:r>
          </w:p>
        </w:tc>
        <w:tc>
          <w:tcPr>
            <w:tcW w:w="2310" w:type="dxa"/>
            <w:vAlign w:val="center"/>
          </w:tcPr>
          <w:p w14:paraId="583B1815">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w:t>
            </w:r>
          </w:p>
        </w:tc>
        <w:tc>
          <w:tcPr>
            <w:tcW w:w="1889" w:type="dxa"/>
            <w:vAlign w:val="center"/>
          </w:tcPr>
          <w:p w14:paraId="592C1506">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5520E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3209290D">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Align w:val="center"/>
          </w:tcPr>
          <w:p w14:paraId="27751D38">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12.银龄计划</w:t>
            </w:r>
          </w:p>
        </w:tc>
        <w:tc>
          <w:tcPr>
            <w:tcW w:w="4952" w:type="dxa"/>
            <w:vAlign w:val="center"/>
          </w:tcPr>
          <w:p w14:paraId="4C9C40C5">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34.银龄教师数量*</w:t>
            </w:r>
          </w:p>
        </w:tc>
        <w:tc>
          <w:tcPr>
            <w:tcW w:w="2310" w:type="dxa"/>
            <w:vAlign w:val="center"/>
          </w:tcPr>
          <w:p w14:paraId="42255EE9">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人</w:t>
            </w:r>
          </w:p>
        </w:tc>
        <w:tc>
          <w:tcPr>
            <w:tcW w:w="1889" w:type="dxa"/>
            <w:vAlign w:val="center"/>
          </w:tcPr>
          <w:p w14:paraId="54A0D595">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5C89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0DC1E76D">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Align w:val="center"/>
          </w:tcPr>
          <w:p w14:paraId="15CBA893">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13.“双师”型教师配备</w:t>
            </w:r>
          </w:p>
        </w:tc>
        <w:tc>
          <w:tcPr>
            <w:tcW w:w="4952" w:type="dxa"/>
            <w:vAlign w:val="center"/>
          </w:tcPr>
          <w:p w14:paraId="7FF53AFB">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35.“双师”型教师占专业课教师总数的比例</w:t>
            </w:r>
          </w:p>
        </w:tc>
        <w:tc>
          <w:tcPr>
            <w:tcW w:w="2310" w:type="dxa"/>
            <w:vAlign w:val="center"/>
          </w:tcPr>
          <w:p w14:paraId="0FBD20E8">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w:t>
            </w:r>
          </w:p>
        </w:tc>
        <w:tc>
          <w:tcPr>
            <w:tcW w:w="1889" w:type="dxa"/>
            <w:vAlign w:val="center"/>
          </w:tcPr>
          <w:p w14:paraId="5FFEB08C">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sz w:val="28"/>
                <w:szCs w:val="22"/>
                <w:highlight w:val="none"/>
              </w:rPr>
              <w:t>≧</w:t>
            </w:r>
            <w:r>
              <w:rPr>
                <w:rFonts w:hint="default" w:ascii="Times New Roman" w:hAnsi="Times New Roman" w:eastAsia="仿宋_GB2312" w:cs="Times New Roman"/>
                <w:color w:val="000000" w:themeColor="text1"/>
                <w:sz w:val="28"/>
                <w:szCs w:val="22"/>
                <w:highlight w:val="none"/>
                <w14:textFill>
                  <w14:solidFill>
                    <w14:schemeClr w14:val="tx1"/>
                  </w14:solidFill>
                </w14:textFill>
              </w:rPr>
              <w:t>50</w:t>
            </w:r>
          </w:p>
        </w:tc>
      </w:tr>
      <w:tr w14:paraId="49F64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181DAEDE">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Align w:val="center"/>
          </w:tcPr>
          <w:p w14:paraId="07E72850">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14.专职辅导员配备</w:t>
            </w:r>
          </w:p>
        </w:tc>
        <w:tc>
          <w:tcPr>
            <w:tcW w:w="4952" w:type="dxa"/>
            <w:vAlign w:val="center"/>
          </w:tcPr>
          <w:p w14:paraId="3E82F357">
            <w:pPr>
              <w:widowControl/>
              <w:spacing w:line="400" w:lineRule="exact"/>
              <w:jc w:val="left"/>
              <w:textAlignment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0"/>
                <w:highlight w:val="none"/>
                <w14:textFill>
                  <w14:solidFill>
                    <w14:schemeClr w14:val="tx1"/>
                  </w14:solidFill>
                </w14:textFill>
              </w:rPr>
              <w:t>36.专职辅导员与全日制学生数之比</w:t>
            </w:r>
          </w:p>
        </w:tc>
        <w:tc>
          <w:tcPr>
            <w:tcW w:w="2310" w:type="dxa"/>
            <w:vAlign w:val="center"/>
          </w:tcPr>
          <w:p w14:paraId="5A8CEF0E">
            <w:pPr>
              <w:widowControl/>
              <w:spacing w:line="400" w:lineRule="exact"/>
              <w:jc w:val="center"/>
              <w:textAlignment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w:t>
            </w:r>
          </w:p>
        </w:tc>
        <w:tc>
          <w:tcPr>
            <w:tcW w:w="1889" w:type="dxa"/>
            <w:vAlign w:val="center"/>
          </w:tcPr>
          <w:p w14:paraId="54D2944E">
            <w:pPr>
              <w:widowControl/>
              <w:spacing w:line="400" w:lineRule="exact"/>
              <w:jc w:val="center"/>
              <w:textAlignment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sz w:val="28"/>
                <w:szCs w:val="22"/>
                <w:highlight w:val="none"/>
              </w:rPr>
              <w:t>≧</w:t>
            </w:r>
            <w:r>
              <w:rPr>
                <w:rFonts w:hint="default" w:ascii="Times New Roman" w:hAnsi="Times New Roman" w:eastAsia="仿宋_GB2312" w:cs="Times New Roman"/>
                <w:color w:val="000000" w:themeColor="text1"/>
                <w:kern w:val="0"/>
                <w:sz w:val="28"/>
                <w:szCs w:val="20"/>
                <w:highlight w:val="none"/>
                <w14:textFill>
                  <w14:solidFill>
                    <w14:schemeClr w14:val="tx1"/>
                  </w14:solidFill>
                </w14:textFill>
              </w:rPr>
              <w:t>1</w:t>
            </w:r>
            <w:r>
              <w:rPr>
                <w:rFonts w:hint="eastAsia" w:ascii="Times New Roman" w:hAnsi="Times New Roman" w:eastAsia="仿宋_GB2312" w:cs="Times New Roman"/>
                <w:color w:val="000000" w:themeColor="text1"/>
                <w:kern w:val="0"/>
                <w:sz w:val="28"/>
                <w:szCs w:val="20"/>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28"/>
                <w:szCs w:val="20"/>
                <w:highlight w:val="none"/>
                <w14:textFill>
                  <w14:solidFill>
                    <w14:schemeClr w14:val="tx1"/>
                  </w14:solidFill>
                </w14:textFill>
              </w:rPr>
              <w:t>200</w:t>
            </w:r>
          </w:p>
        </w:tc>
      </w:tr>
      <w:tr w14:paraId="2384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6FD346A8">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Align w:val="center"/>
          </w:tcPr>
          <w:p w14:paraId="4ED8A48D">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0"/>
                <w:highlight w:val="none"/>
                <w14:textFill>
                  <w14:solidFill>
                    <w14:schemeClr w14:val="tx1"/>
                  </w14:solidFill>
                </w14:textFill>
              </w:rPr>
              <w:t>15.专职思政课教师配备</w:t>
            </w:r>
          </w:p>
        </w:tc>
        <w:tc>
          <w:tcPr>
            <w:tcW w:w="4952" w:type="dxa"/>
            <w:vAlign w:val="center"/>
          </w:tcPr>
          <w:p w14:paraId="3998BDB4">
            <w:pPr>
              <w:widowControl/>
              <w:spacing w:line="400" w:lineRule="exact"/>
              <w:jc w:val="left"/>
              <w:textAlignment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0"/>
                <w:highlight w:val="none"/>
                <w14:textFill>
                  <w14:solidFill>
                    <w14:schemeClr w14:val="tx1"/>
                  </w14:solidFill>
                </w14:textFill>
              </w:rPr>
              <w:t>37.专职思政课教师与全日制学生数之比</w:t>
            </w:r>
          </w:p>
        </w:tc>
        <w:tc>
          <w:tcPr>
            <w:tcW w:w="2310" w:type="dxa"/>
            <w:vAlign w:val="center"/>
          </w:tcPr>
          <w:p w14:paraId="1A6F3F15">
            <w:pPr>
              <w:widowControl/>
              <w:spacing w:line="400" w:lineRule="exact"/>
              <w:jc w:val="center"/>
              <w:textAlignment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w:t>
            </w:r>
          </w:p>
        </w:tc>
        <w:tc>
          <w:tcPr>
            <w:tcW w:w="1889" w:type="dxa"/>
            <w:vAlign w:val="center"/>
          </w:tcPr>
          <w:p w14:paraId="17793B9A">
            <w:pPr>
              <w:widowControl/>
              <w:spacing w:line="400" w:lineRule="exact"/>
              <w:jc w:val="center"/>
              <w:textAlignment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sz w:val="28"/>
                <w:szCs w:val="22"/>
                <w:highlight w:val="none"/>
              </w:rPr>
              <w:t>≧</w:t>
            </w:r>
            <w:r>
              <w:rPr>
                <w:rFonts w:hint="default" w:ascii="Times New Roman" w:hAnsi="Times New Roman" w:eastAsia="仿宋_GB2312" w:cs="Times New Roman"/>
                <w:color w:val="000000" w:themeColor="text1"/>
                <w:kern w:val="0"/>
                <w:sz w:val="28"/>
                <w:szCs w:val="20"/>
                <w:highlight w:val="none"/>
                <w14:textFill>
                  <w14:solidFill>
                    <w14:schemeClr w14:val="tx1"/>
                  </w14:solidFill>
                </w14:textFill>
              </w:rPr>
              <w:t>1</w:t>
            </w:r>
            <w:r>
              <w:rPr>
                <w:rFonts w:hint="eastAsia" w:ascii="Times New Roman" w:hAnsi="Times New Roman" w:eastAsia="仿宋_GB2312" w:cs="Times New Roman"/>
                <w:color w:val="000000" w:themeColor="text1"/>
                <w:kern w:val="0"/>
                <w:sz w:val="28"/>
                <w:szCs w:val="20"/>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28"/>
                <w:szCs w:val="20"/>
                <w:highlight w:val="none"/>
                <w14:textFill>
                  <w14:solidFill>
                    <w14:schemeClr w14:val="tx1"/>
                  </w14:solidFill>
                </w14:textFill>
              </w:rPr>
              <w:t>350</w:t>
            </w:r>
          </w:p>
        </w:tc>
      </w:tr>
      <w:tr w14:paraId="25BE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5" w:hRule="atLeast"/>
          <w:jc w:val="center"/>
        </w:trPr>
        <w:tc>
          <w:tcPr>
            <w:tcW w:w="1332" w:type="dxa"/>
            <w:vMerge w:val="continue"/>
            <w:vAlign w:val="center"/>
          </w:tcPr>
          <w:p w14:paraId="6A80273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Align w:val="center"/>
          </w:tcPr>
          <w:p w14:paraId="0AB363D3">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16.专职心理健康教师配备</w:t>
            </w:r>
          </w:p>
        </w:tc>
        <w:tc>
          <w:tcPr>
            <w:tcW w:w="4952" w:type="dxa"/>
            <w:vAlign w:val="center"/>
          </w:tcPr>
          <w:p w14:paraId="43F7A81A">
            <w:pPr>
              <w:widowControl/>
              <w:spacing w:line="400" w:lineRule="exact"/>
              <w:jc w:val="left"/>
              <w:textAlignment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kern w:val="0"/>
                <w:sz w:val="28"/>
                <w:szCs w:val="20"/>
                <w:highlight w:val="none"/>
                <w14:textFill>
                  <w14:solidFill>
                    <w14:schemeClr w14:val="tx1"/>
                  </w14:solidFill>
                </w14:textFill>
              </w:rPr>
              <w:t>38.专职心理健康教育教师与全日制学生数之比</w:t>
            </w:r>
          </w:p>
        </w:tc>
        <w:tc>
          <w:tcPr>
            <w:tcW w:w="2310" w:type="dxa"/>
            <w:vAlign w:val="center"/>
          </w:tcPr>
          <w:p w14:paraId="22C2C0B3">
            <w:pPr>
              <w:widowControl/>
              <w:spacing w:line="400" w:lineRule="exact"/>
              <w:jc w:val="center"/>
              <w:textAlignment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w:t>
            </w:r>
          </w:p>
        </w:tc>
        <w:tc>
          <w:tcPr>
            <w:tcW w:w="1889" w:type="dxa"/>
            <w:vAlign w:val="center"/>
          </w:tcPr>
          <w:p w14:paraId="16B59576">
            <w:pPr>
              <w:widowControl/>
              <w:spacing w:line="400" w:lineRule="exact"/>
              <w:jc w:val="center"/>
              <w:textAlignment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sz w:val="28"/>
                <w:szCs w:val="22"/>
                <w:highlight w:val="none"/>
              </w:rPr>
              <w:t>≧</w:t>
            </w:r>
            <w:r>
              <w:rPr>
                <w:rFonts w:hint="default" w:ascii="Times New Roman" w:hAnsi="Times New Roman" w:eastAsia="仿宋_GB2312" w:cs="Times New Roman"/>
                <w:color w:val="000000" w:themeColor="text1"/>
                <w:kern w:val="0"/>
                <w:sz w:val="28"/>
                <w:szCs w:val="20"/>
                <w:highlight w:val="none"/>
                <w14:textFill>
                  <w14:solidFill>
                    <w14:schemeClr w14:val="tx1"/>
                  </w14:solidFill>
                </w14:textFill>
              </w:rPr>
              <w:t>1</w:t>
            </w:r>
            <w:r>
              <w:rPr>
                <w:rFonts w:hint="eastAsia" w:ascii="Times New Roman" w:hAnsi="Times New Roman" w:eastAsia="仿宋_GB2312" w:cs="Times New Roman"/>
                <w:color w:val="000000" w:themeColor="text1"/>
                <w:kern w:val="0"/>
                <w:sz w:val="28"/>
                <w:szCs w:val="20"/>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28"/>
                <w:szCs w:val="20"/>
                <w:highlight w:val="none"/>
                <w14:textFill>
                  <w14:solidFill>
                    <w14:schemeClr w14:val="tx1"/>
                  </w14:solidFill>
                </w14:textFill>
              </w:rPr>
              <w:t>3000，且至少配备2人。</w:t>
            </w:r>
          </w:p>
        </w:tc>
      </w:tr>
      <w:tr w14:paraId="3213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513970E4">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restart"/>
            <w:vAlign w:val="center"/>
          </w:tcPr>
          <w:p w14:paraId="5F0F250A">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17.教师职业能力</w:t>
            </w:r>
          </w:p>
        </w:tc>
        <w:tc>
          <w:tcPr>
            <w:tcW w:w="4952" w:type="dxa"/>
            <w:vAlign w:val="center"/>
          </w:tcPr>
          <w:p w14:paraId="339F4A61">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39.具有研究生学位教师占专任教师的比例</w:t>
            </w:r>
          </w:p>
        </w:tc>
        <w:tc>
          <w:tcPr>
            <w:tcW w:w="2310" w:type="dxa"/>
            <w:vAlign w:val="center"/>
          </w:tcPr>
          <w:p w14:paraId="347ECBCA">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w:t>
            </w:r>
          </w:p>
        </w:tc>
        <w:tc>
          <w:tcPr>
            <w:tcW w:w="1889" w:type="dxa"/>
            <w:vAlign w:val="center"/>
          </w:tcPr>
          <w:p w14:paraId="25F12C4C">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sz w:val="28"/>
                <w:szCs w:val="22"/>
                <w:highlight w:val="none"/>
              </w:rPr>
              <w:t>≧</w:t>
            </w:r>
            <w:r>
              <w:rPr>
                <w:rFonts w:hint="default" w:ascii="Times New Roman" w:hAnsi="Times New Roman" w:eastAsia="仿宋_GB2312" w:cs="Times New Roman"/>
                <w:color w:val="000000" w:themeColor="text1"/>
                <w:sz w:val="28"/>
                <w:szCs w:val="22"/>
                <w:highlight w:val="none"/>
                <w14:textFill>
                  <w14:solidFill>
                    <w14:schemeClr w14:val="tx1"/>
                  </w14:solidFill>
                </w14:textFill>
              </w:rPr>
              <w:t>15</w:t>
            </w:r>
          </w:p>
        </w:tc>
      </w:tr>
      <w:tr w14:paraId="6ADED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38BEA322">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13D7A732">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204EAC16">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40.具有高级专业技术职务教师占专任教师的比例</w:t>
            </w:r>
          </w:p>
        </w:tc>
        <w:tc>
          <w:tcPr>
            <w:tcW w:w="2310" w:type="dxa"/>
            <w:vAlign w:val="center"/>
          </w:tcPr>
          <w:p w14:paraId="52C0E6E2">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w:t>
            </w:r>
          </w:p>
        </w:tc>
        <w:tc>
          <w:tcPr>
            <w:tcW w:w="1889" w:type="dxa"/>
            <w:vAlign w:val="center"/>
          </w:tcPr>
          <w:p w14:paraId="2264E05A">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sz w:val="28"/>
                <w:szCs w:val="22"/>
                <w:highlight w:val="none"/>
              </w:rPr>
              <w:t>≧</w:t>
            </w:r>
            <w:r>
              <w:rPr>
                <w:rFonts w:hint="default" w:ascii="Times New Roman" w:hAnsi="Times New Roman" w:eastAsia="仿宋_GB2312" w:cs="Times New Roman"/>
                <w:color w:val="000000" w:themeColor="text1"/>
                <w:sz w:val="28"/>
                <w:szCs w:val="22"/>
                <w:highlight w:val="none"/>
                <w14:textFill>
                  <w14:solidFill>
                    <w14:schemeClr w14:val="tx1"/>
                  </w14:solidFill>
                </w14:textFill>
              </w:rPr>
              <w:t>20</w:t>
            </w:r>
          </w:p>
        </w:tc>
      </w:tr>
      <w:tr w14:paraId="4065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6A2E281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0AEDEB15">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1D4B0E53">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41.专业课教师有相应</w:t>
            </w:r>
            <w:r>
              <w:rPr>
                <w:rFonts w:hint="eastAsia" w:ascii="Times New Roman" w:hAnsi="Times New Roman" w:eastAsia="仿宋_GB2312" w:cs="Times New Roman"/>
                <w:color w:val="auto"/>
                <w:sz w:val="28"/>
                <w:szCs w:val="22"/>
                <w:highlight w:val="none"/>
                <w:lang w:eastAsia="zh-CN"/>
              </w:rPr>
              <w:t>职业资格证书或职业技能等级证书的</w:t>
            </w:r>
            <w:r>
              <w:rPr>
                <w:rFonts w:hint="default" w:ascii="Times New Roman" w:hAnsi="Times New Roman" w:eastAsia="仿宋_GB2312" w:cs="Times New Roman"/>
                <w:color w:val="000000" w:themeColor="text1"/>
                <w:sz w:val="28"/>
                <w:szCs w:val="22"/>
                <w:highlight w:val="none"/>
                <w14:textFill>
                  <w14:solidFill>
                    <w14:schemeClr w14:val="tx1"/>
                  </w14:solidFill>
                </w14:textFill>
              </w:rPr>
              <w:t>比例*</w:t>
            </w:r>
          </w:p>
        </w:tc>
        <w:tc>
          <w:tcPr>
            <w:tcW w:w="2310" w:type="dxa"/>
            <w:vAlign w:val="center"/>
          </w:tcPr>
          <w:p w14:paraId="7805C4C3">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w:t>
            </w:r>
          </w:p>
        </w:tc>
        <w:tc>
          <w:tcPr>
            <w:tcW w:w="1889" w:type="dxa"/>
            <w:vAlign w:val="center"/>
          </w:tcPr>
          <w:p w14:paraId="62F5DF65">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r w14:paraId="1F75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5CF5D37D">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Align w:val="center"/>
          </w:tcPr>
          <w:p w14:paraId="1F651149">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18.企业经历</w:t>
            </w:r>
          </w:p>
        </w:tc>
        <w:tc>
          <w:tcPr>
            <w:tcW w:w="4952" w:type="dxa"/>
            <w:vAlign w:val="center"/>
          </w:tcPr>
          <w:p w14:paraId="260CF2A7">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42.满足每年至少累计 1个月参与企业实践或实训基地实训，或每五年企业实践时间累计不少于6个月的专业课教师占专业课教师总数的比例</w:t>
            </w:r>
          </w:p>
        </w:tc>
        <w:tc>
          <w:tcPr>
            <w:tcW w:w="2310" w:type="dxa"/>
            <w:vAlign w:val="center"/>
          </w:tcPr>
          <w:p w14:paraId="79A4771E">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w:t>
            </w:r>
          </w:p>
        </w:tc>
        <w:tc>
          <w:tcPr>
            <w:tcW w:w="1889" w:type="dxa"/>
            <w:vAlign w:val="center"/>
          </w:tcPr>
          <w:p w14:paraId="1ED57CAC">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100%</w:t>
            </w:r>
          </w:p>
        </w:tc>
      </w:tr>
      <w:tr w14:paraId="074B3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restart"/>
            <w:vAlign w:val="center"/>
          </w:tcPr>
          <w:p w14:paraId="2493F986">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7970F174">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p w14:paraId="34BF71CE">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经费保障</w:t>
            </w:r>
          </w:p>
        </w:tc>
        <w:tc>
          <w:tcPr>
            <w:tcW w:w="2590" w:type="dxa"/>
            <w:vAlign w:val="center"/>
          </w:tcPr>
          <w:p w14:paraId="18CE6F62">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19.生均财政拨款水平</w:t>
            </w:r>
          </w:p>
        </w:tc>
        <w:tc>
          <w:tcPr>
            <w:tcW w:w="4952" w:type="dxa"/>
            <w:vAlign w:val="center"/>
          </w:tcPr>
          <w:p w14:paraId="5F14B939">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43.年生均财政拨款水平</w:t>
            </w:r>
          </w:p>
        </w:tc>
        <w:tc>
          <w:tcPr>
            <w:tcW w:w="2310" w:type="dxa"/>
            <w:vAlign w:val="center"/>
          </w:tcPr>
          <w:p w14:paraId="43E5D9C7">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元/生/年</w:t>
            </w:r>
          </w:p>
        </w:tc>
        <w:tc>
          <w:tcPr>
            <w:tcW w:w="1889" w:type="dxa"/>
            <w:vAlign w:val="center"/>
          </w:tcPr>
          <w:p w14:paraId="0B8659D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≧12000</w:t>
            </w:r>
          </w:p>
        </w:tc>
      </w:tr>
      <w:tr w14:paraId="11A8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27584D9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restart"/>
            <w:vAlign w:val="center"/>
          </w:tcPr>
          <w:p w14:paraId="05EC8F84">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20.教学日常经费支出</w:t>
            </w:r>
          </w:p>
        </w:tc>
        <w:tc>
          <w:tcPr>
            <w:tcW w:w="4952" w:type="dxa"/>
            <w:vAlign w:val="center"/>
          </w:tcPr>
          <w:p w14:paraId="3DFE0EF9">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44.年生均教学日常运行支出</w:t>
            </w:r>
          </w:p>
        </w:tc>
        <w:tc>
          <w:tcPr>
            <w:tcW w:w="2310" w:type="dxa"/>
            <w:vAlign w:val="center"/>
          </w:tcPr>
          <w:p w14:paraId="7E6BD3E4">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元/生/年</w:t>
            </w:r>
          </w:p>
        </w:tc>
        <w:tc>
          <w:tcPr>
            <w:tcW w:w="1889" w:type="dxa"/>
            <w:vAlign w:val="center"/>
          </w:tcPr>
          <w:p w14:paraId="4C271D91">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≧1200</w:t>
            </w:r>
          </w:p>
        </w:tc>
      </w:tr>
      <w:tr w14:paraId="73AF8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21E03568">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Merge w:val="continue"/>
            <w:vAlign w:val="center"/>
          </w:tcPr>
          <w:p w14:paraId="1086E85C">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4952" w:type="dxa"/>
            <w:vAlign w:val="center"/>
          </w:tcPr>
          <w:p w14:paraId="481D2DCA">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45.教学日常运行支出占比</w:t>
            </w:r>
          </w:p>
        </w:tc>
        <w:tc>
          <w:tcPr>
            <w:tcW w:w="2310" w:type="dxa"/>
            <w:vAlign w:val="center"/>
          </w:tcPr>
          <w:p w14:paraId="13FA290F">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w:t>
            </w:r>
          </w:p>
        </w:tc>
        <w:tc>
          <w:tcPr>
            <w:tcW w:w="1889" w:type="dxa"/>
            <w:vAlign w:val="center"/>
          </w:tcPr>
          <w:p w14:paraId="1588D0C6">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≧13</w:t>
            </w:r>
          </w:p>
        </w:tc>
      </w:tr>
      <w:tr w14:paraId="53EF6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332" w:type="dxa"/>
            <w:vMerge w:val="continue"/>
            <w:vAlign w:val="center"/>
          </w:tcPr>
          <w:p w14:paraId="7F1E5FF2">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p>
        </w:tc>
        <w:tc>
          <w:tcPr>
            <w:tcW w:w="2590" w:type="dxa"/>
            <w:vAlign w:val="center"/>
          </w:tcPr>
          <w:p w14:paraId="5B736652">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21.获得人社部门就业专项经费</w:t>
            </w:r>
          </w:p>
        </w:tc>
        <w:tc>
          <w:tcPr>
            <w:tcW w:w="4952" w:type="dxa"/>
            <w:vAlign w:val="center"/>
          </w:tcPr>
          <w:p w14:paraId="58CCAC3B">
            <w:pPr>
              <w:spacing w:line="400" w:lineRule="exact"/>
              <w:jc w:val="left"/>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46.学校就业经费中获得人社部门就业专项经费占比*</w:t>
            </w:r>
          </w:p>
        </w:tc>
        <w:tc>
          <w:tcPr>
            <w:tcW w:w="2310" w:type="dxa"/>
            <w:vAlign w:val="center"/>
          </w:tcPr>
          <w:p w14:paraId="4E1CDB1D">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w:t>
            </w:r>
          </w:p>
        </w:tc>
        <w:tc>
          <w:tcPr>
            <w:tcW w:w="1889" w:type="dxa"/>
            <w:vAlign w:val="center"/>
          </w:tcPr>
          <w:p w14:paraId="2EDB2459">
            <w:pPr>
              <w:spacing w:line="400" w:lineRule="exact"/>
              <w:jc w:val="center"/>
              <w:rPr>
                <w:rFonts w:hint="default" w:ascii="Times New Roman" w:hAnsi="Times New Roman" w:eastAsia="仿宋_GB2312" w:cs="Times New Roman"/>
                <w:color w:val="000000" w:themeColor="text1"/>
                <w:sz w:val="28"/>
                <w:szCs w:val="2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见说明</w:t>
            </w:r>
          </w:p>
        </w:tc>
      </w:tr>
    </w:tbl>
    <w:p w14:paraId="10E60594">
      <w:pPr>
        <w:spacing w:line="560" w:lineRule="exact"/>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28"/>
          <w:szCs w:val="22"/>
          <w:highlight w:val="none"/>
          <w14:textFill>
            <w14:solidFill>
              <w14:schemeClr w14:val="tx1"/>
            </w14:solidFill>
          </w14:textFill>
        </w:rPr>
        <w:t>注：标“*”的监测点为动态监测点</w:t>
      </w:r>
    </w:p>
    <w:p w14:paraId="014E8B1B">
      <w:pPr>
        <w:spacing w:line="560" w:lineRule="exact"/>
        <w:rPr>
          <w:rFonts w:hint="default" w:ascii="Times New Roman" w:hAnsi="Times New Roman" w:eastAsia="黑体" w:cs="Times New Roman"/>
          <w:color w:val="000000" w:themeColor="text1"/>
          <w:sz w:val="32"/>
          <w:highlight w:val="none"/>
          <w14:textFill>
            <w14:solidFill>
              <w14:schemeClr w14:val="tx1"/>
            </w14:solidFill>
          </w14:textFill>
        </w:rPr>
        <w:sectPr>
          <w:pgSz w:w="16838" w:h="11906" w:orient="landscape"/>
          <w:pgMar w:top="1531" w:right="2098" w:bottom="1531" w:left="1984" w:header="851" w:footer="992" w:gutter="0"/>
          <w:cols w:space="0" w:num="1"/>
          <w:docGrid w:type="lines" w:linePitch="315" w:charSpace="0"/>
        </w:sectPr>
      </w:pPr>
    </w:p>
    <w:p w14:paraId="5EB5E2B6">
      <w:pPr>
        <w:spacing w:line="600" w:lineRule="exact"/>
        <w:jc w:val="center"/>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五、监测指标统计口径及计算方法说明</w:t>
      </w:r>
    </w:p>
    <w:p w14:paraId="49AD07CF">
      <w:pPr>
        <w:spacing w:line="600" w:lineRule="exact"/>
        <w:jc w:val="center"/>
        <w:rPr>
          <w:rFonts w:hint="default" w:ascii="Times New Roman" w:hAnsi="Times New Roman" w:eastAsia="仿宋_GB2312" w:cs="Times New Roman"/>
          <w:color w:val="000000" w:themeColor="text1"/>
          <w:sz w:val="32"/>
          <w:highlight w:val="none"/>
          <w14:textFill>
            <w14:solidFill>
              <w14:schemeClr w14:val="tx1"/>
            </w14:solidFill>
          </w14:textFill>
        </w:rPr>
      </w:pPr>
    </w:p>
    <w:p w14:paraId="6D40B79F">
      <w:pPr>
        <w:spacing w:line="600" w:lineRule="exact"/>
        <w:jc w:val="center"/>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【指标一】校园建设</w:t>
      </w:r>
    </w:p>
    <w:p w14:paraId="3FAEB936">
      <w:pPr>
        <w:spacing w:line="60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1.校园占地</w:t>
      </w:r>
    </w:p>
    <w:p w14:paraId="7F9DB253">
      <w:pPr>
        <w:pStyle w:val="2"/>
        <w:widowControl/>
        <w:shd w:val="clear" w:color="auto" w:fill="FFFFFF"/>
        <w:spacing w:beforeAutospacing="0" w:afterAutospacing="0"/>
        <w:ind w:firstLine="640" w:firstLineChars="200"/>
        <w:rPr>
          <w:rFonts w:hint="default" w:ascii="Times New Roman" w:hAnsi="Times New Roman" w:eastAsia="仿宋_GB2312" w:cs="Times New Roman"/>
          <w:b w:val="0"/>
          <w:bCs w:val="0"/>
          <w:color w:val="000000" w:themeColor="text1"/>
          <w:kern w:val="2"/>
          <w:sz w:val="32"/>
          <w:szCs w:val="24"/>
          <w:highlight w:val="none"/>
          <w14:textFill>
            <w14:solidFill>
              <w14:schemeClr w14:val="tx1"/>
            </w14:solidFill>
          </w14:textFill>
        </w:rPr>
      </w:pPr>
      <w:r>
        <w:rPr>
          <w:rFonts w:hint="eastAsia" w:ascii="楷体_GB2312" w:hAnsi="楷体_GB2312" w:eastAsia="楷体_GB2312" w:cs="楷体_GB2312"/>
          <w:b w:val="0"/>
          <w:bCs w:val="0"/>
          <w:color w:val="000000" w:themeColor="text1"/>
          <w:kern w:val="2"/>
          <w:sz w:val="32"/>
          <w:szCs w:val="24"/>
          <w:highlight w:val="none"/>
          <w14:textFill>
            <w14:solidFill>
              <w14:schemeClr w14:val="tx1"/>
            </w14:solidFill>
          </w14:textFill>
        </w:rPr>
        <w:t>指标来源</w:t>
      </w:r>
      <w:r>
        <w:rPr>
          <w:rFonts w:hint="default" w:ascii="Times New Roman" w:hAnsi="Times New Roman" w:eastAsia="楷体" w:cs="Times New Roman"/>
          <w:b w:val="0"/>
          <w:bCs w:val="0"/>
          <w:color w:val="000000" w:themeColor="text1"/>
          <w:kern w:val="2"/>
          <w:sz w:val="32"/>
          <w:szCs w:val="24"/>
          <w:highlight w:val="none"/>
          <w14:textFill>
            <w14:solidFill>
              <w14:schemeClr w14:val="tx1"/>
            </w14:solidFill>
          </w14:textFill>
        </w:rPr>
        <w:t>：</w:t>
      </w:r>
      <w:r>
        <w:rPr>
          <w:rFonts w:hint="default" w:ascii="Times New Roman" w:hAnsi="Times New Roman" w:eastAsia="仿宋_GB2312" w:cs="Times New Roman"/>
          <w:b w:val="0"/>
          <w:bCs w:val="0"/>
          <w:color w:val="000000" w:themeColor="text1"/>
          <w:kern w:val="2"/>
          <w:sz w:val="32"/>
          <w:szCs w:val="24"/>
          <w:highlight w:val="none"/>
          <w14:textFill>
            <w14:solidFill>
              <w14:schemeClr w14:val="tx1"/>
            </w14:solidFill>
          </w14:textFill>
        </w:rPr>
        <w:t>《普通高等学校基本办学条件指标》《普通高等学校体育场馆设施、器材配备目录》</w:t>
      </w:r>
    </w:p>
    <w:p w14:paraId="2E971006">
      <w:pPr>
        <w:spacing w:line="560" w:lineRule="exact"/>
        <w:ind w:firstLine="640" w:firstLineChars="200"/>
        <w:rPr>
          <w:rFonts w:hint="default" w:ascii="Times New Roman" w:hAnsi="Times New Roman" w:eastAsia="楷体"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00FFD9B3">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（1）学校产权面积是指学校具有国家颁发的土地使用权证所占用的土地面积</w:t>
      </w:r>
      <w:r>
        <w:rPr>
          <w:rFonts w:hint="default" w:ascii="Times New Roman" w:hAnsi="Times New Roman" w:eastAsia="仿宋_GB2312" w:cs="Times New Roman"/>
          <w:color w:val="000000"/>
          <w:sz w:val="32"/>
          <w:highlight w:val="none"/>
        </w:rPr>
        <w:t>。</w:t>
      </w:r>
      <w:r>
        <w:rPr>
          <w:rFonts w:hint="default" w:ascii="Times New Roman" w:hAnsi="Times New Roman" w:eastAsia="仿宋_GB2312" w:cs="Times New Roman"/>
          <w:color w:val="000000" w:themeColor="text1"/>
          <w:sz w:val="32"/>
          <w:highlight w:val="none"/>
          <w14:textFill>
            <w14:solidFill>
              <w14:schemeClr w14:val="tx1"/>
            </w14:solidFill>
          </w14:textFill>
        </w:rPr>
        <w:t>含学校体育场、绿化用地，不包括校园外学校拥有的农场、林场及校办工厂等土地面积。</w:t>
      </w:r>
    </w:p>
    <w:p w14:paraId="0EB4EDA8">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非学校产权面积是指使用年限在一年以上的不属于学校产权的占地面积，分为学校独立使用或共同使用。独立使用：是指学校独立使用的不属于学校产权的土地面积。共同使用：是指学校与其他方面共同使用的不属于学校产权的土地面积。</w:t>
      </w:r>
    </w:p>
    <w:p w14:paraId="4450BBB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（3）校园占地面积=学校产权面积+非学校产权面积（独立使用）</w:t>
      </w:r>
    </w:p>
    <w:p w14:paraId="23C316A5">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（4）全日制学生数=普通专科（高职）在校生数+留学生专科在校生数+预科生数+进修生数+成人脱产班学生数+附设中职班在校生数</w:t>
      </w:r>
    </w:p>
    <w:p w14:paraId="796AB268">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（5）生均占地面积=校园占地面积/全日制学生数</w:t>
      </w:r>
    </w:p>
    <w:p w14:paraId="30E263E7">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（6）生均体育场地设施面积=室外与室内体育场地设施面积之和/全日制学生数</w:t>
      </w:r>
    </w:p>
    <w:p w14:paraId="39647932">
      <w:pPr>
        <w:spacing w:line="560" w:lineRule="exact"/>
        <w:ind w:firstLine="640" w:firstLineChars="200"/>
        <w:rPr>
          <w:rFonts w:hint="default" w:ascii="Times New Roman" w:hAnsi="Times New Roman" w:eastAsia="楷体"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标准值</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4DE9FC54">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（1）综合、师范、民族院校生均占地面积</w:t>
      </w:r>
      <w:r>
        <w:rPr>
          <w:rFonts w:hint="default" w:ascii="Times New Roman" w:hAnsi="Times New Roman" w:eastAsia="仿宋_GB2312" w:cs="Times New Roman"/>
          <w:color w:val="000000"/>
          <w:sz w:val="32"/>
          <w:highlight w:val="none"/>
        </w:rPr>
        <w:t>≧</w:t>
      </w:r>
      <w:r>
        <w:rPr>
          <w:rFonts w:hint="default" w:ascii="Times New Roman" w:hAnsi="Times New Roman" w:eastAsia="仿宋_GB2312" w:cs="Times New Roman"/>
          <w:color w:val="000000" w:themeColor="text1"/>
          <w:sz w:val="32"/>
          <w:highlight w:val="none"/>
          <w14:textFill>
            <w14:solidFill>
              <w14:schemeClr w14:val="tx1"/>
            </w14:solidFill>
          </w14:textFill>
        </w:rPr>
        <w:t>54平方米/生，工、农、林、医学院校生均占地面积</w:t>
      </w:r>
      <w:r>
        <w:rPr>
          <w:rFonts w:hint="default" w:ascii="Times New Roman" w:hAnsi="Times New Roman" w:eastAsia="仿宋_GB2312" w:cs="Times New Roman"/>
          <w:color w:val="000000"/>
          <w:sz w:val="32"/>
          <w:highlight w:val="none"/>
        </w:rPr>
        <w:t>≧</w:t>
      </w:r>
      <w:r>
        <w:rPr>
          <w:rFonts w:hint="default" w:ascii="Times New Roman" w:hAnsi="Times New Roman" w:eastAsia="仿宋_GB2312" w:cs="Times New Roman"/>
          <w:color w:val="000000" w:themeColor="text1"/>
          <w:sz w:val="32"/>
          <w:highlight w:val="none"/>
          <w14:textFill>
            <w14:solidFill>
              <w14:schemeClr w14:val="tx1"/>
            </w14:solidFill>
          </w14:textFill>
        </w:rPr>
        <w:t>59平方米/生，语文、财经、政法院校生均占地面积</w:t>
      </w:r>
      <w:r>
        <w:rPr>
          <w:rFonts w:hint="default" w:ascii="Times New Roman" w:hAnsi="Times New Roman" w:eastAsia="仿宋_GB2312" w:cs="Times New Roman"/>
          <w:color w:val="000000"/>
          <w:sz w:val="32"/>
          <w:highlight w:val="none"/>
        </w:rPr>
        <w:t>≧</w:t>
      </w:r>
      <w:r>
        <w:rPr>
          <w:rFonts w:hint="default" w:ascii="Times New Roman" w:hAnsi="Times New Roman" w:eastAsia="仿宋_GB2312" w:cs="Times New Roman"/>
          <w:color w:val="000000" w:themeColor="text1"/>
          <w:sz w:val="32"/>
          <w:highlight w:val="none"/>
          <w14:textFill>
            <w14:solidFill>
              <w14:schemeClr w14:val="tx1"/>
            </w14:solidFill>
          </w14:textFill>
        </w:rPr>
        <w:t>54平方米/生，体育院校生均占地面积</w:t>
      </w:r>
      <w:r>
        <w:rPr>
          <w:rFonts w:hint="default" w:ascii="Times New Roman" w:hAnsi="Times New Roman" w:eastAsia="仿宋_GB2312" w:cs="Times New Roman"/>
          <w:color w:val="000000"/>
          <w:sz w:val="32"/>
          <w:highlight w:val="none"/>
        </w:rPr>
        <w:t>≧</w:t>
      </w:r>
      <w:r>
        <w:rPr>
          <w:rFonts w:hint="default" w:ascii="Times New Roman" w:hAnsi="Times New Roman" w:eastAsia="仿宋_GB2312" w:cs="Times New Roman"/>
          <w:color w:val="000000" w:themeColor="text1"/>
          <w:sz w:val="32"/>
          <w:highlight w:val="none"/>
          <w14:textFill>
            <w14:solidFill>
              <w14:schemeClr w14:val="tx1"/>
            </w14:solidFill>
          </w14:textFill>
        </w:rPr>
        <w:t>88平方米/生，艺术院校生均占地面积</w:t>
      </w:r>
      <w:r>
        <w:rPr>
          <w:rFonts w:hint="default" w:ascii="Times New Roman" w:hAnsi="Times New Roman" w:eastAsia="仿宋_GB2312" w:cs="Times New Roman"/>
          <w:color w:val="000000"/>
          <w:sz w:val="32"/>
          <w:highlight w:val="none"/>
        </w:rPr>
        <w:t>≧</w:t>
      </w:r>
      <w:r>
        <w:rPr>
          <w:rFonts w:hint="default" w:ascii="Times New Roman" w:hAnsi="Times New Roman" w:eastAsia="仿宋_GB2312" w:cs="Times New Roman"/>
          <w:color w:val="000000" w:themeColor="text1"/>
          <w:sz w:val="32"/>
          <w:highlight w:val="none"/>
          <w14:textFill>
            <w14:solidFill>
              <w14:schemeClr w14:val="tx1"/>
            </w14:solidFill>
          </w14:textFill>
        </w:rPr>
        <w:t>88平方米/生。</w:t>
      </w:r>
    </w:p>
    <w:p w14:paraId="26657A67">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（2）基本类生均体育场地设施面积（室外</w:t>
      </w:r>
      <w:r>
        <w:rPr>
          <w:rFonts w:hint="default" w:ascii="Times New Roman" w:hAnsi="Times New Roman" w:eastAsia="仿宋_GB2312" w:cs="Times New Roman"/>
          <w:color w:val="000000"/>
          <w:sz w:val="32"/>
          <w:highlight w:val="none"/>
        </w:rPr>
        <w:t>≧4.7</w:t>
      </w:r>
      <w:r>
        <w:rPr>
          <w:rFonts w:hint="default" w:ascii="Times New Roman" w:hAnsi="Times New Roman" w:eastAsia="仿宋_GB2312" w:cs="Times New Roman"/>
          <w:color w:val="000000" w:themeColor="text1"/>
          <w:sz w:val="32"/>
          <w:highlight w:val="none"/>
          <w14:textFill>
            <w14:solidFill>
              <w14:schemeClr w14:val="tx1"/>
            </w14:solidFill>
          </w14:textFill>
        </w:rPr>
        <w:t>平方米/生，室内</w:t>
      </w:r>
      <w:r>
        <w:rPr>
          <w:rFonts w:hint="default" w:ascii="Times New Roman" w:hAnsi="Times New Roman" w:eastAsia="仿宋_GB2312" w:cs="Times New Roman"/>
          <w:color w:val="000000"/>
          <w:sz w:val="32"/>
          <w:highlight w:val="none"/>
        </w:rPr>
        <w:t>≧0.3</w:t>
      </w:r>
      <w:r>
        <w:rPr>
          <w:rFonts w:hint="default" w:ascii="Times New Roman" w:hAnsi="Times New Roman" w:eastAsia="仿宋_GB2312" w:cs="Times New Roman"/>
          <w:color w:val="000000" w:themeColor="text1"/>
          <w:sz w:val="32"/>
          <w:highlight w:val="none"/>
          <w14:textFill>
            <w14:solidFill>
              <w14:schemeClr w14:val="tx1"/>
            </w14:solidFill>
          </w14:textFill>
        </w:rPr>
        <w:t>平方米/生）</w:t>
      </w:r>
      <w:r>
        <w:rPr>
          <w:rFonts w:hint="default" w:ascii="Times New Roman" w:hAnsi="Times New Roman" w:eastAsia="仿宋_GB2312" w:cs="Times New Roman"/>
          <w:color w:val="000000"/>
          <w:sz w:val="32"/>
          <w:highlight w:val="none"/>
        </w:rPr>
        <w:t>，</w:t>
      </w:r>
      <w:r>
        <w:rPr>
          <w:rFonts w:hint="default" w:ascii="Times New Roman" w:hAnsi="Times New Roman" w:eastAsia="仿宋_GB2312" w:cs="Times New Roman"/>
          <w:color w:val="000000" w:themeColor="text1"/>
          <w:sz w:val="32"/>
          <w:highlight w:val="none"/>
          <w14:textFill>
            <w14:solidFill>
              <w14:schemeClr w14:val="tx1"/>
            </w14:solidFill>
          </w14:textFill>
        </w:rPr>
        <w:t>发展类生均体育场地设施面积（室外</w:t>
      </w:r>
      <w:r>
        <w:rPr>
          <w:rFonts w:hint="default" w:ascii="Times New Roman" w:hAnsi="Times New Roman" w:eastAsia="仿宋_GB2312" w:cs="Times New Roman"/>
          <w:color w:val="000000"/>
          <w:sz w:val="32"/>
          <w:highlight w:val="none"/>
        </w:rPr>
        <w:t>≧5.6</w:t>
      </w:r>
      <w:r>
        <w:rPr>
          <w:rFonts w:hint="default" w:ascii="Times New Roman" w:hAnsi="Times New Roman" w:eastAsia="仿宋_GB2312" w:cs="Times New Roman"/>
          <w:color w:val="000000" w:themeColor="text1"/>
          <w:sz w:val="32"/>
          <w:highlight w:val="none"/>
          <w14:textFill>
            <w14:solidFill>
              <w14:schemeClr w14:val="tx1"/>
            </w14:solidFill>
          </w14:textFill>
        </w:rPr>
        <w:t>平方米/生，室内</w:t>
      </w:r>
      <w:r>
        <w:rPr>
          <w:rFonts w:hint="default" w:ascii="Times New Roman" w:hAnsi="Times New Roman" w:eastAsia="仿宋_GB2312" w:cs="Times New Roman"/>
          <w:color w:val="000000"/>
          <w:sz w:val="32"/>
          <w:highlight w:val="none"/>
        </w:rPr>
        <w:t>≧0.4</w:t>
      </w:r>
      <w:r>
        <w:rPr>
          <w:rFonts w:hint="default" w:ascii="Times New Roman" w:hAnsi="Times New Roman" w:eastAsia="仿宋_GB2312" w:cs="Times New Roman"/>
          <w:color w:val="000000" w:themeColor="text1"/>
          <w:sz w:val="32"/>
          <w:highlight w:val="none"/>
          <w14:textFill>
            <w14:solidFill>
              <w14:schemeClr w14:val="tx1"/>
            </w14:solidFill>
          </w14:textFill>
        </w:rPr>
        <w:t>平方米/生）。生均体育场地设施面积（单一选项）分为“未达到基本类生均体育场地设施面积”“达到基本类未达到发展类生均体育场地设施面积”“达到发展类生均体育场地设施面积”。高职学校一般应达到基本类生均体育场地设施面积要求。</w:t>
      </w:r>
    </w:p>
    <w:p w14:paraId="619AEC4B">
      <w:pPr>
        <w:spacing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2.生均宿舍</w:t>
      </w:r>
    </w:p>
    <w:p w14:paraId="511C3E16">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指标来源</w:t>
      </w:r>
      <w:r>
        <w:rPr>
          <w:rFonts w:hint="default" w:ascii="Times New Roman" w:hAnsi="Times New Roman" w:eastAsia="楷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《普通高等学校基本办学条件指标》</w:t>
      </w:r>
    </w:p>
    <w:p w14:paraId="7D8AD282">
      <w:pPr>
        <w:spacing w:line="560" w:lineRule="exact"/>
        <w:ind w:firstLine="640" w:firstLineChars="200"/>
        <w:rPr>
          <w:rFonts w:hint="default" w:ascii="Times New Roman" w:hAnsi="Times New Roman" w:eastAsia="楷体"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22560910">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（1）学生宿舍面积包括居室、盥洗室、厕所、活动室、辅导员及管理人员用房等。非学校产权的学生宿舍（公寓）只填报独立使用建筑面积。</w:t>
      </w:r>
    </w:p>
    <w:p w14:paraId="0043ED49">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（2）全日制学生数=普通专科（高职）在校生数+留学生专科在校生数+预科生数+进修生数+成人脱产班学生数+附设中职班在校生数</w:t>
      </w:r>
    </w:p>
    <w:p w14:paraId="36F4071D">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（3）生均学生宿舍面积=学生宿舍面积/全日制学生数</w:t>
      </w:r>
    </w:p>
    <w:p w14:paraId="60BBEA29">
      <w:pPr>
        <w:spacing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3.生均教学行政用房</w:t>
      </w:r>
    </w:p>
    <w:p w14:paraId="25019ABE">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指标来源</w:t>
      </w:r>
      <w:r>
        <w:rPr>
          <w:rFonts w:hint="default" w:ascii="Times New Roman" w:hAnsi="Times New Roman" w:eastAsia="楷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《职业学校办学条件重点监测指标》</w:t>
      </w:r>
    </w:p>
    <w:p w14:paraId="62AAAF80">
      <w:pPr>
        <w:spacing w:line="560" w:lineRule="exact"/>
        <w:ind w:firstLine="640" w:firstLineChars="200"/>
        <w:rPr>
          <w:rFonts w:hint="default" w:ascii="Times New Roman" w:hAnsi="Times New Roman" w:eastAsia="楷体"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0BA7A50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教学科研及辅助用房包括教室、图书馆、实验室、实习场所、专用科研用房、体育馆、艺术场馆、会堂等。行政用房包括校行政办公用房和学院办公用房。校行政办公用房包括校级党政办公室、会议室、校史室、档案室、文印室、广播室、接待室、网络中心、财务结算中心。</w:t>
      </w:r>
    </w:p>
    <w:p w14:paraId="6439462C">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（2）全日制学生数=普通专科（高职）在校生数+留学生专科在校生数+预科生数+进修生数+成人脱产班学生数+附设中职班在校生数</w:t>
      </w:r>
    </w:p>
    <w:p w14:paraId="740FF4AB">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（3）生均教学行政用房面积=（教学科研及辅助用房面积+行政用房面积）/全日制学生数</w:t>
      </w:r>
    </w:p>
    <w:p w14:paraId="52F08BAA">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标准值</w:t>
      </w:r>
      <w:r>
        <w:rPr>
          <w:rFonts w:hint="default" w:ascii="Times New Roman" w:hAnsi="Times New Roman" w:eastAsia="楷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综合、师范、民族院校生均教学行政用房面积≧14平方米/生，工、农、林院校生均教学行政用房面积≧16平方米/生，医学院校生均教学行政用房面积≧16平方米/生，语文、财经、政法院校生均教学行政用房面积≧9平方米/生，体育院校生均教学行政用房面积≧22平方米/生，艺术院校生均教学行政用房面积≧18平方米/生。</w:t>
      </w:r>
    </w:p>
    <w:p w14:paraId="5B4ED289">
      <w:pPr>
        <w:spacing w:line="560" w:lineRule="exact"/>
        <w:jc w:val="center"/>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【指标二】教学条件</w:t>
      </w:r>
    </w:p>
    <w:p w14:paraId="31933E7E">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4.图书资源</w:t>
      </w:r>
    </w:p>
    <w:p w14:paraId="4BD08157">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指标来源</w:t>
      </w:r>
      <w:r>
        <w:rPr>
          <w:rFonts w:hint="default" w:ascii="Times New Roman" w:hAnsi="Times New Roman" w:eastAsia="楷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生均图书来源于《职业学校办学条件重点监测指标》，生均年进书量来源于《普通高等学校基本办学条件指标》</w:t>
      </w:r>
    </w:p>
    <w:p w14:paraId="67D8A132">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3091B059">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（1）图书包括纸质图书和数字资源。</w:t>
      </w:r>
    </w:p>
    <w:p w14:paraId="363CF75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纸质图书是指学校图书馆及资料室拥有的正式出版的纸质书籍。</w:t>
      </w:r>
    </w:p>
    <w:p w14:paraId="0ADEFCC4">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数字资源包括电子图书、电子期刊、学位论文及音视频等，试用的数字资源和免费使用的数字资源及随纸本书刊所配的光盘以及非书资料等不作为数字资源计量。数字资源折合后计入图书资源总量，且所占比例最高不超过图书资源总量的40%。</w:t>
      </w:r>
    </w:p>
    <w:p w14:paraId="070AD388">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其中，电子图书是指统计纳入馆藏目录可供使用的电子图书的数量，包括与图书类似的出版物，如研究报告、会议论文集、标准等以全文电子图书数据库形式和按单种挑选订购的电子图书。电子图书1种算1册，不同数据库包含的同种书分别计算。</w:t>
      </w:r>
    </w:p>
    <w:p w14:paraId="5BF6A42C">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电子期刊是指统计纳入馆藏目录可供使用的全文电子期刊的数量，包括与期刊类似的连续出版物等以全文电子期刊数据库形式和按单种挑选订购的全文电子期刊。中文电子期刊每种每年算 1 册，外文电子期刊每种每年算 2 册，不同数据库包含的同种期刊分别计算。</w:t>
      </w:r>
    </w:p>
    <w:p w14:paraId="5505B692">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学位论文是指统计纳入馆藏目录可供使用的电子版学位论文的数量，包括本校原生的和付费购买的学位论文等以全文学位论文数据库形式和按单种挑选订购全文电子版学位论文。1种算1册，不同数据库包含的同种学位论文分别计算。</w:t>
      </w:r>
    </w:p>
    <w:p w14:paraId="6441359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音视频包括自建的和付费购买的音视频资料，音视频资源按累计时长计算，时长1小时参照1册图书计算。</w:t>
      </w:r>
    </w:p>
    <w:p w14:paraId="1A3721C0">
      <w:pPr>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图书资源总量=</w:t>
      </w:r>
      <m:oMath>
        <m:sSub>
          <m:sSubP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SubPr>
          <m:e>
            <m:r>
              <m:rPr>
                <m:nor/>
              </m:rPr>
              <w:rPr>
                <w:rFonts w:hint="default" w:ascii="Times New Roman" w:hAnsi="Times New Roman" w:eastAsia="仿宋_GB2312" w:cs="Times New Roman"/>
                <w:i/>
                <w:color w:val="000000" w:themeColor="text1"/>
                <w:sz w:val="32"/>
                <w:szCs w:val="32"/>
                <w:highlight w:val="none"/>
                <w14:textFill>
                  <w14:solidFill>
                    <w14:schemeClr w14:val="tx1"/>
                  </w14:solidFill>
                </w14:textFill>
              </w:rPr>
              <m:t>T</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e>
          <m:sub>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纸</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ub>
        </m:sSub>
      </m:oMath>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m:oMath>
        <m:d>
          <m:dPr>
            <m:begChr m:val="{"/>
            <m:endChr m:val=""/>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dPr>
          <m:e>
            <m:eqArr>
              <m:eqArrP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eqArrPr>
              <m:e>
                <m:f>
                  <m:fP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fPr>
                  <m:num>
                    <m:sSub>
                      <m:sSubP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SubPr>
                      <m:e>
                        <m:r>
                          <m:rPr>
                            <m:nor/>
                          </m:rPr>
                          <w:rPr>
                            <w:rFonts w:hint="default" w:ascii="Times New Roman" w:hAnsi="Times New Roman" w:eastAsia="仿宋_GB2312" w:cs="Times New Roman"/>
                            <w:i/>
                            <w:color w:val="000000" w:themeColor="text1"/>
                            <w:sz w:val="32"/>
                            <w:szCs w:val="32"/>
                            <w:highlight w:val="none"/>
                            <w14:textFill>
                              <w14:solidFill>
                                <w14:schemeClr w14:val="tx1"/>
                              </w14:solidFill>
                            </w14:textFill>
                          </w:rPr>
                          <m:t>T</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e>
                      <m:sub>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纸</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ub>
                    </m:sSub>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num>
                  <m:den>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60%</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den>
                </m:f>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×40%，如果</m:t>
                </m:r>
                <m:sSub>
                  <m:sSubP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SubPr>
                  <m:e>
                    <m:r>
                      <m:rPr>
                        <m:nor/>
                      </m:rPr>
                      <w:rPr>
                        <w:rFonts w:hint="default" w:ascii="Times New Roman" w:hAnsi="Times New Roman" w:eastAsia="仿宋_GB2312" w:cs="Times New Roman"/>
                        <w:i/>
                        <w:color w:val="000000" w:themeColor="text1"/>
                        <w:sz w:val="32"/>
                        <w:szCs w:val="32"/>
                        <w:highlight w:val="none"/>
                        <w14:textFill>
                          <w14:solidFill>
                            <w14:schemeClr w14:val="tx1"/>
                          </w14:solidFill>
                        </w14:textFill>
                      </w:rPr>
                      <m:t>T</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e>
                  <m:sub>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电</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ub>
                </m:sSub>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&gt;</m:t>
                </m:r>
                <m:f>
                  <m:fP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fPr>
                  <m:num>
                    <m:sSub>
                      <m:sSubP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SubPr>
                      <m:e>
                        <m:r>
                          <m:rPr>
                            <m:nor/>
                          </m:rPr>
                          <w:rPr>
                            <w:rFonts w:hint="default" w:ascii="Times New Roman" w:hAnsi="Times New Roman" w:eastAsia="仿宋_GB2312" w:cs="Times New Roman"/>
                            <w:i/>
                            <w:color w:val="000000" w:themeColor="text1"/>
                            <w:sz w:val="32"/>
                            <w:szCs w:val="32"/>
                            <w:highlight w:val="none"/>
                            <w14:textFill>
                              <w14:solidFill>
                                <w14:schemeClr w14:val="tx1"/>
                              </w14:solidFill>
                            </w14:textFill>
                          </w:rPr>
                          <m:t>T</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e>
                      <m:sub>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纸</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ub>
                    </m:sSub>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num>
                  <m:den>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60%</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den>
                </m:f>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×40%</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e>
              <m:e>
                <m:sSub>
                  <m:sSubP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SubPr>
                  <m:e>
                    <m:r>
                      <m:rPr>
                        <m:nor/>
                      </m:rPr>
                      <w:rPr>
                        <w:rFonts w:hint="default" w:ascii="Times New Roman" w:hAnsi="Times New Roman" w:eastAsia="仿宋_GB2312" w:cs="Times New Roman"/>
                        <w:i/>
                        <w:color w:val="000000" w:themeColor="text1"/>
                        <w:sz w:val="32"/>
                        <w:szCs w:val="32"/>
                        <w:highlight w:val="none"/>
                        <w14:textFill>
                          <w14:solidFill>
                            <w14:schemeClr w14:val="tx1"/>
                          </w14:solidFill>
                        </w14:textFill>
                      </w:rPr>
                      <m:t>T</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e>
                  <m:sub>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电</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ub>
                </m:sSub>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，如果</m:t>
                </m:r>
                <m:sSub>
                  <m:sSubP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SubPr>
                  <m:e>
                    <m:r>
                      <m:rPr>
                        <m:nor/>
                      </m:rPr>
                      <w:rPr>
                        <w:rFonts w:hint="default" w:ascii="Times New Roman" w:hAnsi="Times New Roman" w:eastAsia="仿宋_GB2312" w:cs="Times New Roman"/>
                        <w:i/>
                        <w:color w:val="000000" w:themeColor="text1"/>
                        <w:sz w:val="32"/>
                        <w:szCs w:val="32"/>
                        <w:highlight w:val="none"/>
                        <w14:textFill>
                          <w14:solidFill>
                            <w14:schemeClr w14:val="tx1"/>
                          </w14:solidFill>
                        </w14:textFill>
                      </w:rPr>
                      <m:t>T</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e>
                  <m:sub>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电</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ub>
                </m:sSub>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m:t>
                </m:r>
                <m:f>
                  <m:fP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fPr>
                  <m:num>
                    <m:sSub>
                      <m:sSubP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SubPr>
                      <m:e>
                        <m:r>
                          <m:rPr>
                            <m:nor/>
                          </m:rPr>
                          <w:rPr>
                            <w:rFonts w:hint="default" w:ascii="Times New Roman" w:hAnsi="Times New Roman" w:eastAsia="仿宋_GB2312" w:cs="Times New Roman"/>
                            <w:i/>
                            <w:color w:val="000000" w:themeColor="text1"/>
                            <w:sz w:val="32"/>
                            <w:szCs w:val="32"/>
                            <w:highlight w:val="none"/>
                            <w14:textFill>
                              <w14:solidFill>
                                <w14:schemeClr w14:val="tx1"/>
                              </w14:solidFill>
                            </w14:textFill>
                          </w:rPr>
                          <m:t>T</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e>
                      <m:sub>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纸</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ub>
                    </m:sSub>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num>
                  <m:den>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60%</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den>
                </m:f>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×40%</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e>
            </m:eqAr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e>
        </m:d>
      </m:oMath>
    </w:p>
    <w:p w14:paraId="64D2E0DB">
      <w:pPr>
        <w:spacing w:line="56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m:oMath>
        <m:sSub>
          <m:sSubP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SubPr>
          <m:e>
            <m:r>
              <m:rPr>
                <m:nor/>
              </m:rPr>
              <w:rPr>
                <w:rFonts w:hint="default" w:ascii="Times New Roman" w:hAnsi="Times New Roman" w:eastAsia="仿宋_GB2312" w:cs="Times New Roman"/>
                <w:i/>
                <w:color w:val="000000" w:themeColor="text1"/>
                <w:sz w:val="32"/>
                <w:szCs w:val="32"/>
                <w:highlight w:val="none"/>
                <w14:textFill>
                  <w14:solidFill>
                    <w14:schemeClr w14:val="tx1"/>
                  </w14:solidFill>
                </w14:textFill>
              </w:rPr>
              <m:t>T</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e>
          <m:sub>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纸</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ub>
        </m:sSub>
      </m:oMath>
      <w:r>
        <w:rPr>
          <w:rFonts w:hint="default" w:ascii="Times New Roman" w:hAnsi="Times New Roman" w:eastAsia="仿宋_GB2312" w:cs="Times New Roman"/>
          <w:color w:val="000000" w:themeColor="text1"/>
          <w:sz w:val="32"/>
          <w:szCs w:val="32"/>
          <w:highlight w:val="none"/>
          <w14:textFill>
            <w14:solidFill>
              <w14:schemeClr w14:val="tx1"/>
            </w14:solidFill>
          </w14:textFill>
        </w:rPr>
        <w:t>=纸质图书总册数</w:t>
      </w:r>
    </w:p>
    <w:p w14:paraId="3B18213B">
      <w:pPr>
        <w:spacing w:line="560" w:lineRule="exact"/>
        <w:ind w:firstLine="640" w:firstLineChars="200"/>
        <w:rPr>
          <w:rFonts w:hint="default" w:ascii="Times New Roman" w:hAnsi="Times New Roman" w:eastAsia="仿宋_GB2312" w:cs="Times New Roman"/>
          <w:color w:val="000000" w:themeColor="text1"/>
          <w:sz w:val="32"/>
          <w:szCs w:val="32"/>
          <w:highlight w:val="none"/>
          <w14:textFill>
            <w14:solidFill>
              <w14:schemeClr w14:val="tx1"/>
            </w14:solidFill>
          </w14:textFill>
        </w:rPr>
      </w:pPr>
      <m:oMath>
        <m:sSub>
          <m:sSubP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SubPr>
          <m:e>
            <m:r>
              <m:rPr>
                <m:nor/>
              </m:rPr>
              <w:rPr>
                <w:rFonts w:hint="default" w:ascii="Times New Roman" w:hAnsi="Times New Roman" w:eastAsia="仿宋_GB2312" w:cs="Times New Roman"/>
                <w:i/>
                <w:color w:val="000000" w:themeColor="text1"/>
                <w:sz w:val="32"/>
                <w:szCs w:val="32"/>
                <w:highlight w:val="none"/>
                <w14:textFill>
                  <w14:solidFill>
                    <w14:schemeClr w14:val="tx1"/>
                  </w14:solidFill>
                </w14:textFill>
              </w:rPr>
              <m:t>T</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e>
          <m:sub>
            <m:r>
              <m:rPr>
                <m:nor/>
                <m:sty m:val="p"/>
              </m:rPr>
              <w:rPr>
                <w:rFonts w:hint="default" w:ascii="Times New Roman" w:hAnsi="Times New Roman" w:eastAsia="仿宋_GB2312" w:cs="Times New Roman"/>
                <w:b w:val="0"/>
                <w:i w:val="0"/>
                <w:color w:val="000000" w:themeColor="text1"/>
                <w:sz w:val="32"/>
                <w:szCs w:val="32"/>
                <w:highlight w:val="none"/>
                <w14:textFill>
                  <w14:solidFill>
                    <w14:schemeClr w14:val="tx1"/>
                  </w14:solidFill>
                </w14:textFill>
              </w:rPr>
              <m:t>电</m:t>
            </m:r>
            <m:ctrlPr>
              <w:rPr>
                <w:rFonts w:hint="default" w:ascii="Cambria Math" w:hAnsi="Cambria Math" w:eastAsia="仿宋_GB2312" w:cs="Times New Roman"/>
                <w:color w:val="000000" w:themeColor="text1"/>
                <w:sz w:val="32"/>
                <w:szCs w:val="32"/>
                <w:highlight w:val="none"/>
                <w14:textFill>
                  <w14:solidFill>
                    <w14:schemeClr w14:val="tx1"/>
                  </w14:solidFill>
                </w14:textFill>
              </w:rPr>
            </m:ctrlPr>
          </m:sub>
        </m:sSub>
      </m:oMath>
      <w:r>
        <w:rPr>
          <w:rFonts w:hint="default" w:ascii="Times New Roman" w:hAnsi="Times New Roman" w:eastAsia="仿宋_GB2312" w:cs="Times New Roman"/>
          <w:color w:val="000000" w:themeColor="text1"/>
          <w:sz w:val="32"/>
          <w:szCs w:val="32"/>
          <w:highlight w:val="none"/>
          <w14:textFill>
            <w14:solidFill>
              <w14:schemeClr w14:val="tx1"/>
            </w14:solidFill>
          </w14:textFill>
        </w:rPr>
        <w:t>=数字资源量=电子图书（册）+电子期刊（册）+学位论文（册）+音视频（小时）（音视频1小时算1册电子图书）</w:t>
      </w:r>
    </w:p>
    <w:p w14:paraId="5F5C4E0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（2）折合学生数=普通专科（高职）在校生数+留学生专科在校生数+预科生数+成人脱产在校生+成人业余在校生数*0.3+成人</w:t>
      </w:r>
      <w:r>
        <w:rPr>
          <w:rFonts w:hint="default" w:ascii="Times New Roman" w:hAnsi="Times New Roman" w:eastAsia="仿宋_GB2312" w:cs="Times New Roman"/>
          <w:color w:val="000000"/>
          <w:sz w:val="32"/>
          <w:highlight w:val="none"/>
        </w:rPr>
        <w:t>函授</w:t>
      </w:r>
      <w:r>
        <w:rPr>
          <w:rFonts w:hint="default" w:ascii="Times New Roman" w:hAnsi="Times New Roman" w:eastAsia="仿宋_GB2312" w:cs="Times New Roman"/>
          <w:color w:val="000000" w:themeColor="text1"/>
          <w:sz w:val="32"/>
          <w:highlight w:val="none"/>
          <w14:textFill>
            <w14:solidFill>
              <w14:schemeClr w14:val="tx1"/>
            </w14:solidFill>
          </w14:textFill>
        </w:rPr>
        <w:t>在校生数*0.1+附设中职班在校生*0.75</w:t>
      </w:r>
    </w:p>
    <w:p w14:paraId="184A0F44">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（3）生均图书=图书资源总量/折合学生数</w:t>
      </w:r>
    </w:p>
    <w:p w14:paraId="6FD219C0">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（4）生均年进书量=当年新增图书量/折合学生数</w:t>
      </w:r>
    </w:p>
    <w:p w14:paraId="04C60D63">
      <w:pPr>
        <w:spacing w:line="560" w:lineRule="exact"/>
        <w:ind w:firstLine="640" w:firstLineChars="200"/>
        <w:rPr>
          <w:rFonts w:hint="default" w:ascii="Times New Roman" w:hAnsi="Times New Roman" w:eastAsia="楷体"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标准值</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148EEA28">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综合、师范、民族院校生均图书≧80册/生，工、农、林院校生均图书≧60册/生，医学院校生均图书≧60册/生，语文、财经、政法院校生均图书≧80册/生，体育院校生均图书≧50册/生，艺术院校生均图书≧60册/生。</w:t>
      </w:r>
    </w:p>
    <w:p w14:paraId="127F6CC1">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综合、师范、民族院校生均年进书量≧3册/生，工、农、林、医学院校生均年进书量≧2册/生，语文、财经、政法院校生均年进书量≧3册/生，体育院校生均年进书量≧2册/生，艺术院校生均年进书量≧3册/生。凡折合在校生超过30000人的高校，当年进书量超过9万册，该项指标即为满足要求。</w:t>
      </w:r>
    </w:p>
    <w:p w14:paraId="50FC460F">
      <w:pPr>
        <w:spacing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5.信息化建设</w:t>
      </w:r>
    </w:p>
    <w:p w14:paraId="64FF77E0">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指标来源</w:t>
      </w:r>
      <w:r>
        <w:rPr>
          <w:rFonts w:hint="default" w:ascii="Times New Roman" w:hAnsi="Times New Roman" w:eastAsia="楷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接入互联网出口带宽来源于《职业院校数字校园建设规范》，百名学生配教学用计算机台数来源于《普通高等学校基本办学条件指标》。</w:t>
      </w:r>
    </w:p>
    <w:p w14:paraId="2155F534">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5F58BB41">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接入互联网出口带宽指校园网对外出口带宽之和，网络出口包括中国电信出口、中国网通出口、教育科研网出口等。对于建立校园网的，填写校园网对外出口带宽之和（通过城域网形成逻辑校园网的，按学校接入城域网带宽填写）；对于没有建立校园网但已接入互联网的学校，按学校连接互联网的带宽之和填写。校园网络应采用成熟的千兆及以上以太网络技术和设备，核心和关键网络应安全稳定可靠。</w:t>
      </w:r>
    </w:p>
    <w:p w14:paraId="22FF0F61">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（2）全日制学生数=普通专科（高职）在校生数+留学生专科在校生数+预科生数+进修生数+成人脱产班学生数+附设中职班在校生数</w:t>
      </w:r>
    </w:p>
    <w:p w14:paraId="2FAB1A83">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（3）百名学生配教学用计算机台数=（教学用计算机台数/全日制学生数）*100</w:t>
      </w:r>
    </w:p>
    <w:p w14:paraId="7BC624C8">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（4）无线网络覆盖（单一选项）分为“全部”“部分”“无”。</w:t>
      </w:r>
    </w:p>
    <w:p w14:paraId="79E911CB">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6.仪器设备</w:t>
      </w:r>
    </w:p>
    <w:p w14:paraId="5FDD0018">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指标来源</w:t>
      </w:r>
      <w:r>
        <w:rPr>
          <w:rFonts w:hint="default" w:ascii="Times New Roman" w:hAnsi="Times New Roman" w:eastAsia="楷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生均教学科研仪器设备值来源于《职业学校办学条件重点监测指标》，新增教学科研仪器设备所占比例</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来源于</w:t>
      </w:r>
      <w:r>
        <w:rPr>
          <w:rFonts w:hint="default" w:ascii="Times New Roman" w:hAnsi="Times New Roman" w:eastAsia="仿宋_GB2312" w:cs="Times New Roman"/>
          <w:color w:val="000000" w:themeColor="text1"/>
          <w:sz w:val="32"/>
          <w:highlight w:val="none"/>
          <w14:textFill>
            <w14:solidFill>
              <w14:schemeClr w14:val="tx1"/>
            </w14:solidFill>
          </w14:textFill>
        </w:rPr>
        <w:t>《普通高等学校基本办学条件指标》</w:t>
      </w:r>
    </w:p>
    <w:p w14:paraId="236C65B9">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305D294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教学科研仪器设备指使用学校预算经费、科研经费、基建经费、校内部门自筹经费购买或接受捐赠的耐用时间在一年以上，单价1000元以上的教学、科研仪器设备，均应纳入仪器设备管理范围。主要包括学校固定资产中用于教学、科研、实验、实习等</w:t>
      </w:r>
      <w:r>
        <w:rPr>
          <w:rFonts w:hint="eastAsia" w:ascii="Times New Roman" w:hAnsi="Times New Roman" w:eastAsia="仿宋_GB2312" w:cs="Times New Roman"/>
          <w:color w:val="auto"/>
          <w:sz w:val="32"/>
          <w:highlight w:val="none"/>
          <w:lang w:eastAsia="zh-CN"/>
        </w:rPr>
        <w:t>活动的仪器</w:t>
      </w:r>
      <w:r>
        <w:rPr>
          <w:rFonts w:hint="default" w:ascii="Times New Roman" w:hAnsi="Times New Roman" w:eastAsia="仿宋_GB2312" w:cs="Times New Roman"/>
          <w:color w:val="000000" w:themeColor="text1"/>
          <w:sz w:val="32"/>
          <w:highlight w:val="none"/>
          <w14:textFill>
            <w14:solidFill>
              <w14:schemeClr w14:val="tx1"/>
            </w14:solidFill>
          </w14:textFill>
        </w:rPr>
        <w:t>设备的资产值。</w:t>
      </w:r>
    </w:p>
    <w:p w14:paraId="55E81D61">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（2）全日制学生数=普通专科（高职）在校生数+留学生专科在校生数+预科生数+进修生数+成人脱产班学生数+附设中职班在校生数</w:t>
      </w:r>
    </w:p>
    <w:p w14:paraId="3EF0F293">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（3）生均教学科研仪器设备值=教学科研仪器设备资产总值/全日制学生数</w:t>
      </w:r>
    </w:p>
    <w:p w14:paraId="684355CC">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（4）当年新增教学科研仪器设备所占比例=当年新增教学科研仪器设备值/（教学科研仪器设备资产总值－当年新增教学科研仪器设备值）*100%</w:t>
      </w:r>
    </w:p>
    <w:p w14:paraId="5FD2F7F1">
      <w:pPr>
        <w:spacing w:line="560" w:lineRule="exact"/>
        <w:ind w:firstLine="640" w:firstLineChars="200"/>
        <w:rPr>
          <w:rFonts w:hint="default" w:ascii="Times New Roman" w:hAnsi="Times New Roman" w:eastAsia="楷体"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标准值</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76F63F80">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综合、师范、民族院校生均教学科研仪器设备值≧4000元/生，工、农、林院校生均教学科研仪器设备值≧4000元/生，医学院校生均教学科研仪器设备值≧4000元/生，语文、财经、政法院校生均教学科研仪器设备值≧3000元/生，体育院校生均教学科研仪器设备值≧3000元/生，艺术院校生均教学科研仪器设备值≧3000元/生。</w:t>
      </w:r>
    </w:p>
    <w:p w14:paraId="3EE4DBC6">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（2）教学仪器设备总值低于1亿元的高校，当年新增教学仪器设备值≧10%；教学仪器设备总值超过1亿元的高校，当年新增教学仪器设备值超过1000万元，该项指标即为合格。</w:t>
      </w:r>
    </w:p>
    <w:p w14:paraId="32D27D20">
      <w:pPr>
        <w:spacing w:line="560" w:lineRule="exact"/>
        <w:ind w:firstLine="640" w:firstLineChars="200"/>
        <w:rPr>
          <w:rFonts w:hint="default" w:ascii="Times New Roman" w:hAnsi="Times New Roman" w:eastAsia="仿宋_GB2312" w:cs="Times New Roman"/>
          <w:b/>
          <w:bCs/>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7.实训条件</w:t>
      </w:r>
    </w:p>
    <w:p w14:paraId="49395E3E">
      <w:pPr>
        <w:spacing w:line="560" w:lineRule="exact"/>
        <w:ind w:firstLine="640" w:firstLineChars="200"/>
        <w:rPr>
          <w:rFonts w:hint="default" w:ascii="Times New Roman" w:hAnsi="Times New Roman" w:eastAsia="楷体"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2263CB5A">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校内实训基地数量指学校建在校内的实践实训基地数（包含校内实验实训室、省级以上实训基地、虚拟仿真实训基地等）。其中，省级以上实训基地数指省级以上主管部门立项建设的实训基地数。校外实训基地数量指校企合作建立在企业内部的实训基地数，建立校外实训基地企业数指校外实训基地依托企业数。</w:t>
      </w:r>
    </w:p>
    <w:p w14:paraId="21B407F0">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（2）全日制学生数=普通专科（高职）在校生数+留学生专科在校生数+预科生数+进修生数+成人脱产班学生数+附设中职班在校生数</w:t>
      </w:r>
    </w:p>
    <w:p w14:paraId="0F8DAC05">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（3）生均校内实训基地工位数=校内实训基地工位数/全日制学生数</w:t>
      </w:r>
    </w:p>
    <w:p w14:paraId="6278CC40">
      <w:pPr>
        <w:spacing w:line="560" w:lineRule="exact"/>
        <w:jc w:val="center"/>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【指标三】师资队伍</w:t>
      </w:r>
    </w:p>
    <w:p w14:paraId="11735A35">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8.专任教师配备</w:t>
      </w:r>
    </w:p>
    <w:p w14:paraId="7EBE0E1E">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62D95AD7">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专任教师是指具有《中华人民共和国教师法》《教师资格条例》规定的高等教育学校教师资格，学校根据《关于高等学校岗位设置管理的指导意见》，聘用的专职从事教学工作的教学为主型岗位和教学科研型岗位人员。</w:t>
      </w:r>
    </w:p>
    <w:p w14:paraId="41D1C36A">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9.兼职教师配备</w:t>
      </w:r>
    </w:p>
    <w:p w14:paraId="6D768472">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指标来源</w:t>
      </w:r>
      <w:r>
        <w:rPr>
          <w:rFonts w:hint="default" w:ascii="Times New Roman" w:hAnsi="Times New Roman" w:eastAsia="楷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兼职教师占专兼职教师总数的比例来源于《职业学校兼职教师管理办法》（2023年），行业导师占专任教师总数比例、行业导师承担专业课教学任务课时占学校专业课总课时比例来源于《本科层次职业学校本科教学工作合格评估指标和基本要求（试行）》（2021年）</w:t>
      </w:r>
    </w:p>
    <w:p w14:paraId="47872099">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6E9FD822">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（1）兼职教师包括校外教师、行业导师。其中，校外教师是指聘请外校或外单位具有《中华人民共和国教师法》《教师资格条例》规定的高等教育学校教师资格，聘期在一学期以上，从事教学工作的人员</w:t>
      </w:r>
      <w:r>
        <w:rPr>
          <w:rFonts w:hint="default" w:ascii="Times New Roman" w:hAnsi="Times New Roman" w:eastAsia="仿宋_GB2312" w:cs="Times New Roman"/>
          <w:color w:val="000000"/>
          <w:sz w:val="32"/>
          <w:highlight w:val="none"/>
        </w:rPr>
        <w:t>。</w:t>
      </w:r>
      <w:r>
        <w:rPr>
          <w:rFonts w:hint="default" w:ascii="Times New Roman" w:hAnsi="Times New Roman" w:eastAsia="仿宋_GB2312" w:cs="Times New Roman"/>
          <w:color w:val="000000" w:themeColor="text1"/>
          <w:sz w:val="32"/>
          <w:highlight w:val="none"/>
          <w14:textFill>
            <w14:solidFill>
              <w14:schemeClr w14:val="tx1"/>
            </w14:solidFill>
          </w14:textFill>
        </w:rPr>
        <w:t>包括其他学校退休教师和本校退休教师。行业导师</w:t>
      </w:r>
      <w:r>
        <w:rPr>
          <w:rFonts w:hint="eastAsia" w:ascii="Times New Roman" w:hAnsi="Times New Roman" w:eastAsia="仿宋_GB2312" w:cs="Times New Roman"/>
          <w:color w:val="auto"/>
          <w:sz w:val="32"/>
          <w:highlight w:val="none"/>
          <w:lang w:eastAsia="zh-CN"/>
        </w:rPr>
        <w:t>即</w:t>
      </w:r>
      <w:r>
        <w:rPr>
          <w:rFonts w:hint="default" w:ascii="Times New Roman" w:hAnsi="Times New Roman" w:eastAsia="仿宋_GB2312" w:cs="Times New Roman"/>
          <w:color w:val="000000" w:themeColor="text1"/>
          <w:sz w:val="32"/>
          <w:highlight w:val="none"/>
          <w14:textFill>
            <w14:solidFill>
              <w14:schemeClr w14:val="tx1"/>
            </w14:solidFill>
          </w14:textFill>
        </w:rPr>
        <w:t>行业企业一线兼职教师，是指学校按照聘用流程，聘请的校外行业、企事业单位、科研机构等无教师资格证但参与协助教学工作的高技能人才，聘期为一学期及以上。聘请校外教师和行业导师经折算后计入教师总数</w:t>
      </w:r>
      <w:r>
        <w:rPr>
          <w:rFonts w:hint="eastAsia" w:ascii="Times New Roman" w:hAnsi="Times New Roman" w:eastAsia="仿宋_GB2312"/>
          <w:sz w:val="32"/>
        </w:rPr>
        <w:t>，原则上聘请校外教师和行业导师总数不超过专任教师总数的四分之一</w:t>
      </w:r>
      <w:r>
        <w:rPr>
          <w:rFonts w:hint="default" w:ascii="Times New Roman" w:hAnsi="Times New Roman" w:eastAsia="仿宋_GB2312" w:cs="Times New Roman"/>
          <w:color w:val="000000" w:themeColor="text1"/>
          <w:sz w:val="32"/>
          <w:highlight w:val="none"/>
          <w14:textFill>
            <w14:solidFill>
              <w14:schemeClr w14:val="tx1"/>
            </w14:solidFill>
          </w14:textFill>
        </w:rPr>
        <w:t>。</w:t>
      </w:r>
    </w:p>
    <w:p w14:paraId="1B80CD68">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（2）兼职教师占专兼职教师总数的比例=兼职教师数/专兼职教师总数*100%</w:t>
      </w:r>
    </w:p>
    <w:p w14:paraId="2C46DF77">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（3）行业导师占专兼职教师总数的比例=行业导师数/专兼职教师总数*100%</w:t>
      </w:r>
    </w:p>
    <w:p w14:paraId="6690604B">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（4）行业导师承担专业课教学任务课时占学校专业课总课时比例=行业导师承担专业课教学任务课时/学校专业课总课时*100%</w:t>
      </w:r>
    </w:p>
    <w:p w14:paraId="2298C08A">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10.外籍教师配备</w:t>
      </w:r>
    </w:p>
    <w:p w14:paraId="313C58F7">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3BFD0734">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外籍教师：是指由学校聘任、取得外国人来华工作许可和工作类居留证件、在学校从事教育教学工作的外籍人员。</w:t>
      </w:r>
    </w:p>
    <w:p w14:paraId="7AB78EF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11.生师比</w:t>
      </w:r>
    </w:p>
    <w:p w14:paraId="044C6857">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指标来源：</w:t>
      </w:r>
      <w:r>
        <w:rPr>
          <w:rFonts w:hint="default" w:ascii="Times New Roman" w:hAnsi="Times New Roman" w:eastAsia="仿宋_GB2312" w:cs="Times New Roman"/>
          <w:color w:val="000000" w:themeColor="text1"/>
          <w:sz w:val="32"/>
          <w:highlight w:val="none"/>
          <w14:textFill>
            <w14:solidFill>
              <w14:schemeClr w14:val="tx1"/>
            </w14:solidFill>
          </w14:textFill>
        </w:rPr>
        <w:t>《职业学校办学条件重点监测指标》</w:t>
      </w:r>
    </w:p>
    <w:p w14:paraId="3C18AE47">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78BF8958">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（1）折合学生数=普通专科（高职）在校生数+留学生专科在校生数+预科生数+成人脱产在校生+成人业余在校生数*0.3+成人</w:t>
      </w:r>
      <w:r>
        <w:rPr>
          <w:rFonts w:hint="default" w:ascii="Times New Roman" w:hAnsi="Times New Roman" w:eastAsia="仿宋_GB2312" w:cs="Times New Roman"/>
          <w:color w:val="000000"/>
          <w:sz w:val="32"/>
          <w:highlight w:val="none"/>
        </w:rPr>
        <w:t>函授</w:t>
      </w:r>
      <w:r>
        <w:rPr>
          <w:rFonts w:hint="default" w:ascii="Times New Roman" w:hAnsi="Times New Roman" w:eastAsia="仿宋_GB2312" w:cs="Times New Roman"/>
          <w:color w:val="000000" w:themeColor="text1"/>
          <w:sz w:val="32"/>
          <w:highlight w:val="none"/>
          <w14:textFill>
            <w14:solidFill>
              <w14:schemeClr w14:val="tx1"/>
            </w14:solidFill>
          </w14:textFill>
        </w:rPr>
        <w:t>在校生数*0.1+附设中职班在校生*0.75</w:t>
      </w:r>
    </w:p>
    <w:p w14:paraId="61B71AB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（2）折合教师数=专任教师数+校外教师数*0.5+行业导师*0.5+外籍教师</w:t>
      </w:r>
    </w:p>
    <w:p w14:paraId="2FACB365">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（3）生师比=折合在校生数/折合教师</w:t>
      </w:r>
      <w:r>
        <w:rPr>
          <w:rFonts w:hint="default" w:ascii="Times New Roman" w:hAnsi="Times New Roman" w:eastAsia="仿宋_GB2312" w:cs="Times New Roman"/>
          <w:color w:val="000000"/>
          <w:sz w:val="32"/>
          <w:highlight w:val="none"/>
        </w:rPr>
        <w:t>总</w:t>
      </w:r>
      <w:r>
        <w:rPr>
          <w:rFonts w:hint="default" w:ascii="Times New Roman" w:hAnsi="Times New Roman" w:eastAsia="仿宋_GB2312" w:cs="Times New Roman"/>
          <w:color w:val="000000" w:themeColor="text1"/>
          <w:sz w:val="32"/>
          <w:highlight w:val="none"/>
          <w14:textFill>
            <w14:solidFill>
              <w14:schemeClr w14:val="tx1"/>
            </w14:solidFill>
          </w14:textFill>
        </w:rPr>
        <w:t>数</w:t>
      </w:r>
    </w:p>
    <w:p w14:paraId="45F08ADB">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标准值</w:t>
      </w:r>
      <w:r>
        <w:rPr>
          <w:rFonts w:hint="default" w:ascii="Times New Roman" w:hAnsi="Times New Roman" w:eastAsia="楷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综合、师范、民族院校生师比</w:t>
      </w:r>
      <w:r>
        <w:rPr>
          <w:rFonts w:hint="default" w:ascii="Times New Roman" w:hAnsi="Times New Roman" w:eastAsia="宋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18，工、农、林院校生师比</w:t>
      </w:r>
      <w:r>
        <w:rPr>
          <w:rFonts w:hint="default" w:ascii="Times New Roman" w:hAnsi="Times New Roman" w:eastAsia="宋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18，医学院校生师比</w:t>
      </w:r>
      <w:r>
        <w:rPr>
          <w:rFonts w:hint="default" w:ascii="Times New Roman" w:hAnsi="Times New Roman" w:eastAsia="宋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16，语文、财经、政法院校生师比</w:t>
      </w:r>
      <w:r>
        <w:rPr>
          <w:rFonts w:hint="default" w:ascii="Times New Roman" w:hAnsi="Times New Roman" w:eastAsia="宋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18，体育院校生师比</w:t>
      </w:r>
      <w:r>
        <w:rPr>
          <w:rFonts w:hint="default" w:ascii="Times New Roman" w:hAnsi="Times New Roman" w:eastAsia="宋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13，艺术院校生师比</w:t>
      </w:r>
      <w:r>
        <w:rPr>
          <w:rFonts w:hint="default" w:ascii="Times New Roman" w:hAnsi="Times New Roman" w:eastAsia="宋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13。</w:t>
      </w:r>
    </w:p>
    <w:p w14:paraId="1C27C43A">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12.银龄计划</w:t>
      </w:r>
    </w:p>
    <w:p w14:paraId="2B98588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11CA7FDD">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银龄教师是指根据《国家银龄教师行动计划》，鼓励高水平行业特色型高校退休教师参与，申请教师应具有副高级及以上职称，申请参与普通高等教育、职业教育、终身教育、民办教育领域的线下银龄教师年龄一般应在70（含）岁以下。</w:t>
      </w:r>
    </w:p>
    <w:p w14:paraId="0C6A04CE">
      <w:pPr>
        <w:spacing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13.“双师”型专业课专任教师配备</w:t>
      </w:r>
    </w:p>
    <w:p w14:paraId="37F3DE38">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指标来源</w:t>
      </w:r>
      <w:r>
        <w:rPr>
          <w:rFonts w:hint="default" w:ascii="Times New Roman" w:hAnsi="Times New Roman" w:eastAsia="楷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《国家职业教育改革实施方案》</w:t>
      </w:r>
    </w:p>
    <w:p w14:paraId="743FD404">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7A358282">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（1）“双师”型专业课专任教师为根据国家《职业教育“双师型”教师基本标准（试行）》（《教育部办公厅关于做好职业教育“双师型”教师认定工作的通知》教师厅〔202</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highlight w:val="none"/>
          <w14:textFill>
            <w14:solidFill>
              <w14:schemeClr w14:val="tx1"/>
            </w14:solidFill>
          </w14:textFill>
        </w:rPr>
        <w:t>〕2号），符合《江苏省职业教育“双师型”教师标准（试行）》（《省教育厅关于开展职业教育“双师型”教师认定工作的通知》苏教师函〔202</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highlight w:val="none"/>
          <w14:textFill>
            <w14:solidFill>
              <w14:schemeClr w14:val="tx1"/>
            </w14:solidFill>
          </w14:textFill>
        </w:rPr>
        <w:t>〕31号）的职业学校专业课专任教师。</w:t>
      </w:r>
    </w:p>
    <w:p w14:paraId="368EA9F5">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（2）“双师”型教师比例=“双师”型专业课（含实习指导课）教师数/专业课教师总数</w:t>
      </w:r>
      <w:r>
        <w:rPr>
          <w:rFonts w:hint="default" w:ascii="Times New Roman" w:hAnsi="Times New Roman" w:eastAsia="仿宋_GB2312" w:cs="Times New Roman"/>
          <w:color w:val="000000"/>
          <w:sz w:val="32"/>
          <w:highlight w:val="none"/>
        </w:rPr>
        <w:t>*</w:t>
      </w:r>
      <w:r>
        <w:rPr>
          <w:rFonts w:hint="default" w:ascii="Times New Roman" w:hAnsi="Times New Roman" w:eastAsia="仿宋_GB2312" w:cs="Times New Roman"/>
          <w:color w:val="000000" w:themeColor="text1"/>
          <w:sz w:val="32"/>
          <w:highlight w:val="none"/>
          <w14:textFill>
            <w14:solidFill>
              <w14:schemeClr w14:val="tx1"/>
            </w14:solidFill>
          </w14:textFill>
        </w:rPr>
        <w:t>100%</w:t>
      </w:r>
    </w:p>
    <w:p w14:paraId="15AA470C">
      <w:pPr>
        <w:spacing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14.专职辅导员配备</w:t>
      </w:r>
    </w:p>
    <w:p w14:paraId="5A9F65B3">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指标来源：</w:t>
      </w:r>
      <w:r>
        <w:rPr>
          <w:rFonts w:hint="default" w:ascii="Times New Roman" w:hAnsi="Times New Roman" w:eastAsia="仿宋_GB2312" w:cs="Times New Roman"/>
          <w:color w:val="000000" w:themeColor="text1"/>
          <w:sz w:val="32"/>
          <w:highlight w:val="none"/>
          <w14:textFill>
            <w14:solidFill>
              <w14:schemeClr w14:val="tx1"/>
            </w14:solidFill>
          </w14:textFill>
        </w:rPr>
        <w:t>专职辅导员与全日制学生数之比来源于《普通高等学校辅导员队伍建设规定》（2017年），《中国教育监测与评价统计指标体系（2020年版）》</w:t>
      </w:r>
    </w:p>
    <w:p w14:paraId="69460C33">
      <w:pPr>
        <w:spacing w:line="560" w:lineRule="exact"/>
        <w:ind w:firstLine="640" w:firstLineChars="200"/>
        <w:rPr>
          <w:rFonts w:hint="default" w:ascii="Times New Roman" w:hAnsi="Times New Roman" w:eastAsia="楷体"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62E62C78">
      <w:pPr>
        <w:ind w:firstLine="482"/>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（1）专职辅导员是指专职从事学生日常思想政治教育</w:t>
      </w:r>
      <w:r>
        <w:rPr>
          <w:rFonts w:hint="default" w:ascii="Times New Roman" w:hAnsi="Times New Roman" w:eastAsia="仿宋_GB2312" w:cs="Times New Roman"/>
          <w:color w:val="000000"/>
          <w:sz w:val="32"/>
          <w:highlight w:val="none"/>
        </w:rPr>
        <w:t>工作</w:t>
      </w:r>
      <w:r>
        <w:rPr>
          <w:rFonts w:hint="default" w:ascii="Times New Roman" w:hAnsi="Times New Roman" w:eastAsia="仿宋_GB2312" w:cs="Times New Roman"/>
          <w:color w:val="000000" w:themeColor="text1"/>
          <w:sz w:val="32"/>
          <w:highlight w:val="none"/>
          <w14:textFill>
            <w14:solidFill>
              <w14:schemeClr w14:val="tx1"/>
            </w14:solidFill>
          </w14:textFill>
        </w:rPr>
        <w:t>的人员，包括院（系）党委（党支部）副书记、学工组长、团委（团总支）书记等专职工作人员。高等学校可以从优秀专任教师、管理人员、研究生中选聘一定数量兼职辅导员，兼职辅导员工作量按专职辅导员工作量的三分之一核定。</w:t>
      </w:r>
    </w:p>
    <w:p w14:paraId="74E169D2">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（2）全日制学生数=普通专科（高职）在校生数+留学生专科在校生数+预科生数+进修生数+成人脱产班学生数+附设中职班在校生数</w:t>
      </w:r>
    </w:p>
    <w:p w14:paraId="3A5EBAB3">
      <w:pPr>
        <w:spacing w:line="560" w:lineRule="exact"/>
        <w:ind w:firstLine="640" w:firstLineChars="20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（3）专职辅导员与全日制学生数之比=（专职辅导员数+兼职辅导员数/3）/ 全日制在校生数</w:t>
      </w:r>
    </w:p>
    <w:p w14:paraId="406BF519">
      <w:pPr>
        <w:spacing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15.专职思政课教师配备</w:t>
      </w:r>
    </w:p>
    <w:p w14:paraId="3DD77405">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指标来源</w:t>
      </w:r>
      <w:r>
        <w:rPr>
          <w:rFonts w:hint="default" w:ascii="Times New Roman" w:hAnsi="Times New Roman" w:eastAsia="楷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专职思政</w:t>
      </w:r>
      <w:r>
        <w:rPr>
          <w:rFonts w:hint="eastAsia" w:ascii="Times New Roman" w:hAnsi="Times New Roman" w:eastAsia="仿宋_GB2312" w:cs="Times New Roman"/>
          <w:color w:val="auto"/>
          <w:sz w:val="32"/>
          <w:highlight w:val="none"/>
          <w:lang w:eastAsia="zh-CN"/>
        </w:rPr>
        <w:t>课教师</w:t>
      </w:r>
      <w:r>
        <w:rPr>
          <w:rFonts w:hint="default" w:ascii="Times New Roman" w:hAnsi="Times New Roman" w:eastAsia="仿宋_GB2312" w:cs="Times New Roman"/>
          <w:color w:val="000000" w:themeColor="text1"/>
          <w:sz w:val="32"/>
          <w:highlight w:val="none"/>
          <w14:textFill>
            <w14:solidFill>
              <w14:schemeClr w14:val="tx1"/>
            </w14:solidFill>
          </w14:textFill>
        </w:rPr>
        <w:t>与全日制学生数之比来源于《新时代高等学校思想政治理论课教师队伍建设规定》（2020年）</w:t>
      </w:r>
    </w:p>
    <w:p w14:paraId="13C27C8C">
      <w:pPr>
        <w:spacing w:line="560" w:lineRule="exact"/>
        <w:ind w:firstLine="640" w:firstLineChars="200"/>
        <w:rPr>
          <w:rFonts w:hint="default" w:ascii="Times New Roman" w:hAnsi="Times New Roman" w:eastAsia="楷体"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61FDA6E9">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（1）专职思政课教师是指承担学校思政课教育教学和研究职责的专职教师，人事关系在马克思主义学院或思政课教研部</w:t>
      </w:r>
    </w:p>
    <w:p w14:paraId="1617835A">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（2）全日制学生数=普通专科（高职）在校生数+留学生专科在校生数+预科生数+进修生数+成人脱产班学生数+附设中职班在校生数</w:t>
      </w:r>
    </w:p>
    <w:p w14:paraId="4AD40B36">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（3）专职思政课教师与全日制学生数之比=专职思政课教师数/全日制在校生数</w:t>
      </w:r>
    </w:p>
    <w:p w14:paraId="05E35AF2">
      <w:pPr>
        <w:spacing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16.专职心理健康教师配备</w:t>
      </w:r>
    </w:p>
    <w:p w14:paraId="15776EC8">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指标来源</w:t>
      </w:r>
      <w:r>
        <w:rPr>
          <w:rFonts w:hint="default" w:ascii="Times New Roman" w:hAnsi="Times New Roman" w:eastAsia="楷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专职心理健康教育教师与全日制学生数之比来源于《关于加强学生心理健康管理工作的通知》（2021年）、《全面加强和改进新时代学生心理健康工作专项行动计划（2023—2025 年）》（2023年）、江苏省教育厅《关于加强大学生心理健康教育管理工作的通知》（苏教学函〔2021〕13号）。</w:t>
      </w:r>
    </w:p>
    <w:p w14:paraId="2E706029">
      <w:pPr>
        <w:spacing w:line="560" w:lineRule="exact"/>
        <w:ind w:firstLine="640" w:firstLineChars="200"/>
        <w:rPr>
          <w:rFonts w:hint="default" w:ascii="Times New Roman" w:hAnsi="Times New Roman" w:eastAsia="楷体"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32CF6B9A">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（1）专职心理健康教育教师指在开设有专门的心理健康教育课或设立了心理辅导室的学校里专门从事心理健康教育，不兼任其他学科教学的教师。</w:t>
      </w:r>
    </w:p>
    <w:p w14:paraId="398C1E56">
      <w:pPr>
        <w:spacing w:line="560" w:lineRule="exact"/>
        <w:ind w:firstLine="640" w:firstLineChars="200"/>
        <w:rPr>
          <w:rFonts w:hint="eastAsia" w:ascii="Times New Roman" w:hAnsi="Times New Roman" w:eastAsia="仿宋_GB2312" w:cs="Times New Roman"/>
          <w:color w:val="000000" w:themeColor="text1"/>
          <w:sz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（2）全日制学生数=普通专科（高职）在校生数+留学生专科在校生数+预科生数+进修生数+成人脱产班学生数+附设中职班在校生数</w:t>
      </w:r>
      <w:r>
        <w:rPr>
          <w:rFonts w:hint="eastAsia" w:ascii="Times New Roman" w:hAnsi="Times New Roman" w:eastAsia="仿宋_GB2312" w:cs="Times New Roman"/>
          <w:color w:val="000000" w:themeColor="text1"/>
          <w:sz w:val="32"/>
          <w:highlight w:val="none"/>
          <w:lang w:eastAsia="zh-CN"/>
          <w14:textFill>
            <w14:solidFill>
              <w14:schemeClr w14:val="tx1"/>
            </w14:solidFill>
          </w14:textFill>
        </w:rPr>
        <w:t>；</w:t>
      </w:r>
    </w:p>
    <w:p w14:paraId="16EDE8B7">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（3）专职心理健康教育教师与全日制学生数之比=专职心理健康教育教师数/全日制在校生数</w:t>
      </w:r>
    </w:p>
    <w:p w14:paraId="3E4E2C21">
      <w:pPr>
        <w:spacing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17.教师职业能力</w:t>
      </w:r>
    </w:p>
    <w:p w14:paraId="3C50EB32">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指标来源</w:t>
      </w:r>
      <w:r>
        <w:rPr>
          <w:rFonts w:hint="default" w:ascii="Times New Roman" w:hAnsi="Times New Roman" w:eastAsia="楷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具有研究生学位教师占专任教师的比例来源</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于</w:t>
      </w:r>
      <w:r>
        <w:rPr>
          <w:rFonts w:hint="default" w:ascii="Times New Roman" w:hAnsi="Times New Roman" w:eastAsia="仿宋_GB2312" w:cs="Times New Roman"/>
          <w:color w:val="000000" w:themeColor="text1"/>
          <w:sz w:val="32"/>
          <w:highlight w:val="none"/>
          <w14:textFill>
            <w14:solidFill>
              <w14:schemeClr w14:val="tx1"/>
            </w14:solidFill>
          </w14:textFill>
        </w:rPr>
        <w:t>《职业学校办学条件重点监测指标》，具有高级</w:t>
      </w:r>
      <w:r>
        <w:rPr>
          <w:rFonts w:hint="default" w:ascii="Times New Roman" w:hAnsi="Times New Roman" w:eastAsia="仿宋_GB2312" w:cs="Times New Roman"/>
          <w:color w:val="000000"/>
          <w:sz w:val="32"/>
          <w:highlight w:val="none"/>
        </w:rPr>
        <w:t>职务</w:t>
      </w:r>
      <w:r>
        <w:rPr>
          <w:rFonts w:hint="default" w:ascii="Times New Roman" w:hAnsi="Times New Roman" w:eastAsia="仿宋_GB2312" w:cs="Times New Roman"/>
          <w:color w:val="000000" w:themeColor="text1"/>
          <w:sz w:val="32"/>
          <w:highlight w:val="none"/>
          <w14:textFill>
            <w14:solidFill>
              <w14:schemeClr w14:val="tx1"/>
            </w14:solidFill>
          </w14:textFill>
        </w:rPr>
        <w:t>教师占专任教师的比例来源</w:t>
      </w:r>
      <w:r>
        <w:rPr>
          <w:rFonts w:hint="eastAsia" w:ascii="Times New Roman" w:hAnsi="Times New Roman" w:eastAsia="仿宋_GB2312" w:cs="Times New Roman"/>
          <w:color w:val="000000" w:themeColor="text1"/>
          <w:sz w:val="32"/>
          <w:highlight w:val="none"/>
          <w:lang w:val="en-US" w:eastAsia="zh-CN"/>
          <w14:textFill>
            <w14:solidFill>
              <w14:schemeClr w14:val="tx1"/>
            </w14:solidFill>
          </w14:textFill>
        </w:rPr>
        <w:t>于</w:t>
      </w:r>
      <w:r>
        <w:rPr>
          <w:rFonts w:hint="default" w:ascii="Times New Roman" w:hAnsi="Times New Roman" w:eastAsia="仿宋_GB2312" w:cs="Times New Roman"/>
          <w:color w:val="000000" w:themeColor="text1"/>
          <w:sz w:val="32"/>
          <w:highlight w:val="none"/>
          <w14:textFill>
            <w14:solidFill>
              <w14:schemeClr w14:val="tx1"/>
            </w14:solidFill>
          </w14:textFill>
        </w:rPr>
        <w:t>《普通高等学校基本办学条件指标》。</w:t>
      </w:r>
    </w:p>
    <w:p w14:paraId="29691195">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3FCCA66E">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（1）具有研究生学位教师占专任教师的比例=具有研究生学位专任教师数/专任教师数*100%</w:t>
      </w:r>
    </w:p>
    <w:p w14:paraId="79D06A1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（2）具有高级专业技术职务教师占专任教师的比例=具有副高级以上职务的专任教师数/专任教师数*100%</w:t>
      </w:r>
    </w:p>
    <w:p w14:paraId="6CA31FB0">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（3）专业课教师有相应的职业资格证书或职业技能等级证书比例=专业课教师有相应的职业资格证书或职业技能等级证书人数/专业课教师总数*100%</w:t>
      </w:r>
    </w:p>
    <w:p w14:paraId="5FE847CB">
      <w:pPr>
        <w:spacing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18.企业经历</w:t>
      </w:r>
    </w:p>
    <w:p w14:paraId="42510626">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指标来源</w:t>
      </w:r>
      <w:r>
        <w:rPr>
          <w:rFonts w:hint="default" w:ascii="Times New Roman" w:hAnsi="Times New Roman" w:eastAsia="楷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《国家职业教育改革实施方案》《高等职业教育创新发展行动计划（2015</w:t>
      </w:r>
      <w:r>
        <w:rPr>
          <w:rFonts w:hint="eastAsia" w:ascii="Times New Roman" w:hAnsi="Times New Roman" w:eastAsia="仿宋_GB2312" w:cs="Times New Roman"/>
          <w:color w:val="000000" w:themeColor="text1"/>
          <w:sz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2018年）》</w:t>
      </w:r>
    </w:p>
    <w:p w14:paraId="67A65FD0">
      <w:pPr>
        <w:spacing w:line="560" w:lineRule="exact"/>
        <w:ind w:firstLine="640" w:firstLineChars="200"/>
        <w:rPr>
          <w:rFonts w:hint="default" w:ascii="Times New Roman" w:hAnsi="Times New Roman" w:eastAsia="楷体"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13FD9AF1">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所有专业课教师每年至少累计1个月参与企业实践或实训基地实训，或</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每五年企业实践时间累计不少于6个月</w:t>
      </w:r>
      <w:r>
        <w:rPr>
          <w:rFonts w:hint="default" w:ascii="Times New Roman" w:hAnsi="Times New Roman" w:eastAsia="仿宋_GB2312" w:cs="Times New Roman"/>
          <w:color w:val="000000" w:themeColor="text1"/>
          <w:sz w:val="32"/>
          <w:highlight w:val="none"/>
          <w14:textFill>
            <w14:solidFill>
              <w14:schemeClr w14:val="tx1"/>
            </w14:solidFill>
          </w14:textFill>
        </w:rPr>
        <w:t>。</w:t>
      </w:r>
    </w:p>
    <w:p w14:paraId="5D1EE0C4">
      <w:pPr>
        <w:spacing w:line="560" w:lineRule="exact"/>
        <w:jc w:val="center"/>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【指标四】经费保障</w:t>
      </w:r>
    </w:p>
    <w:p w14:paraId="4EED8811">
      <w:pPr>
        <w:spacing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19.生均财政拨款水平</w:t>
      </w:r>
    </w:p>
    <w:p w14:paraId="063E6672">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指标来源</w:t>
      </w:r>
      <w:r>
        <w:rPr>
          <w:rFonts w:hint="default" w:ascii="Times New Roman" w:hAnsi="Times New Roman" w:eastAsia="楷体" w:cs="Times New Roman"/>
          <w:color w:val="000000" w:themeColor="text1"/>
          <w:sz w:val="32"/>
          <w:highlight w:val="none"/>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《财政部 教育部关于建立完善以改革和绩效为导向的生均拨款制度加快发展现代高等职业教育的意见》（财教〔2014〕352号）。</w:t>
      </w:r>
    </w:p>
    <w:p w14:paraId="17FF0A40">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eastAsia" w:ascii="楷体_GB2312" w:hAnsi="楷体_GB2312" w:eastAsia="楷体_GB2312" w:cs="楷体_GB2312"/>
          <w:color w:val="000000" w:themeColor="text1"/>
          <w:sz w:val="32"/>
          <w:highlight w:val="none"/>
          <w14:textFill>
            <w14:solidFill>
              <w14:schemeClr w14:val="tx1"/>
            </w14:solidFill>
          </w14:textFill>
        </w:rPr>
        <w:t>统计口径及计算方法</w:t>
      </w:r>
      <w:r>
        <w:rPr>
          <w:rFonts w:hint="default" w:ascii="Times New Roman" w:hAnsi="Times New Roman" w:eastAsia="楷体" w:cs="Times New Roman"/>
          <w:color w:val="000000" w:themeColor="text1"/>
          <w:sz w:val="32"/>
          <w:highlight w:val="none"/>
          <w14:textFill>
            <w14:solidFill>
              <w14:schemeClr w14:val="tx1"/>
            </w14:solidFill>
          </w14:textFill>
        </w:rPr>
        <w:t>：</w:t>
      </w:r>
    </w:p>
    <w:p w14:paraId="32B6F106">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（1）年生均财政拨款水平是指政府收支分类科目“2050305高等职业教育”中，地方财政通过一般公共预算安排用于支持高职院校发展的经费，按全日制高等职业学历教育在校生人数折算的平均水平。</w:t>
      </w:r>
    </w:p>
    <w:p w14:paraId="2945A73E">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（2）全日制学生数=普通专科（高职）在校生数+留学生专科在校生数+预科生数+进修生数+成人脱产班学生数+附设中职班在校生数</w:t>
      </w:r>
    </w:p>
    <w:p w14:paraId="1A8F4AA4">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（3）年生均财政拨款水平=财政生均拨款收入/全日制学生数</w:t>
      </w:r>
    </w:p>
    <w:p w14:paraId="6D3C8417">
      <w:pPr>
        <w:spacing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20.教学日常运行支出</w:t>
      </w:r>
    </w:p>
    <w:p w14:paraId="658D17CD">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指标来源：</w:t>
      </w:r>
      <w:r>
        <w:rPr>
          <w:rFonts w:hint="default" w:ascii="Times New Roman" w:hAnsi="Times New Roman" w:eastAsia="仿宋_GB2312" w:cs="Times New Roman"/>
          <w:color w:val="000000" w:themeColor="text1"/>
          <w:sz w:val="32"/>
          <w:highlight w:val="none"/>
          <w14:textFill>
            <w14:solidFill>
              <w14:schemeClr w14:val="tx1"/>
            </w14:solidFill>
          </w14:textFill>
        </w:rPr>
        <w:t>《本科层次职业学校本科教学工作合格评估指标和基本要求（试行）》（2021年）</w:t>
      </w:r>
    </w:p>
    <w:p w14:paraId="3686C57D">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统计口径及计算方法：</w:t>
      </w:r>
    </w:p>
    <w:p w14:paraId="4977BC96">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教学日常运行支出是指学校开展教学活动及其辅助活动发生的支出，仅指教学基本支出中的商品和服务支出（302类），不包括教学专项拨款支出，具体包括：教学教辅部门发生的办公费（含考试考务费、手续费等）、印刷费、咨询费、邮电费、交通费、差旅费、出国费、维修（护）费、租赁费、会议费、培训费、专用材料费（含体育维持费等）、劳务费、其他教学商品和服务支出（含学生活动费、教学咨询研究机构会员费、教学改革科研业务费、委托业务费等）。</w:t>
      </w:r>
    </w:p>
    <w:p w14:paraId="24B8BE7C">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（2）折合学生数=普通专科（高职）在校生数+留学生专科在校生数+预科生数+成人脱产在校生+成人业余在校生数*0.3+成人</w:t>
      </w:r>
      <w:r>
        <w:rPr>
          <w:rFonts w:hint="default" w:ascii="Times New Roman" w:hAnsi="Times New Roman" w:eastAsia="仿宋_GB2312" w:cs="Times New Roman"/>
          <w:color w:val="000000"/>
          <w:sz w:val="32"/>
          <w:highlight w:val="none"/>
        </w:rPr>
        <w:t>函授</w:t>
      </w:r>
      <w:r>
        <w:rPr>
          <w:rFonts w:hint="default" w:ascii="Times New Roman" w:hAnsi="Times New Roman" w:eastAsia="仿宋_GB2312" w:cs="Times New Roman"/>
          <w:color w:val="000000" w:themeColor="text1"/>
          <w:sz w:val="32"/>
          <w:highlight w:val="none"/>
          <w14:textFill>
            <w14:solidFill>
              <w14:schemeClr w14:val="tx1"/>
            </w14:solidFill>
          </w14:textFill>
        </w:rPr>
        <w:t>在校生数*0.1+附设中职班在校生*0.75</w:t>
      </w:r>
    </w:p>
    <w:p w14:paraId="2B04FAC5">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（3）年生均教学日常运行支出=当年教学日常运行支出/折合学生数</w:t>
      </w:r>
    </w:p>
    <w:p w14:paraId="7E682099">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（4）教学日常运行支出占比=教学日常运行支出/（经常性预算内教育事业费拨款</w:t>
      </w:r>
      <w:r>
        <w:rPr>
          <w:rFonts w:hint="default" w:ascii="Times New Roman" w:hAnsi="Times New Roman" w:eastAsia="仿宋_GB2312" w:cs="Times New Roman"/>
          <w:color w:val="000000"/>
          <w:sz w:val="32"/>
          <w:highlight w:val="none"/>
        </w:rPr>
        <w:t>（</w:t>
      </w:r>
      <w:r>
        <w:rPr>
          <w:rFonts w:hint="default" w:ascii="Times New Roman" w:hAnsi="Times New Roman" w:eastAsia="仿宋_GB2312" w:cs="Times New Roman"/>
          <w:color w:val="000000" w:themeColor="text1"/>
          <w:sz w:val="32"/>
          <w:highlight w:val="none"/>
          <w14:textFill>
            <w14:solidFill>
              <w14:schemeClr w14:val="tx1"/>
            </w14:solidFill>
          </w14:textFill>
        </w:rPr>
        <w:t>205类教育拨款扣除专项拨款</w:t>
      </w:r>
      <w:r>
        <w:rPr>
          <w:rFonts w:hint="default" w:ascii="Times New Roman" w:hAnsi="Times New Roman" w:eastAsia="仿宋_GB2312" w:cs="Times New Roman"/>
          <w:color w:val="000000"/>
          <w:sz w:val="32"/>
          <w:highlight w:val="none"/>
        </w:rPr>
        <w:t>）</w:t>
      </w:r>
      <w:r>
        <w:rPr>
          <w:rFonts w:hint="default" w:ascii="Times New Roman" w:hAnsi="Times New Roman" w:eastAsia="仿宋_GB2312" w:cs="Times New Roman"/>
          <w:color w:val="000000" w:themeColor="text1"/>
          <w:sz w:val="32"/>
          <w:highlight w:val="none"/>
          <w14:textFill>
            <w14:solidFill>
              <w14:schemeClr w14:val="tx1"/>
            </w14:solidFill>
          </w14:textFill>
        </w:rPr>
        <w:t>+学费收入）*100%</w:t>
      </w:r>
    </w:p>
    <w:p w14:paraId="6E460CCA">
      <w:pPr>
        <w:spacing w:line="560" w:lineRule="exact"/>
        <w:ind w:firstLine="640" w:firstLineChars="200"/>
        <w:rPr>
          <w:rFonts w:hint="default" w:ascii="Times New Roman" w:hAnsi="Times New Roman" w:eastAsia="黑体" w:cs="Times New Roman"/>
          <w:color w:val="000000" w:themeColor="text1"/>
          <w:sz w:val="32"/>
          <w:highlight w:val="none"/>
          <w14:textFill>
            <w14:solidFill>
              <w14:schemeClr w14:val="tx1"/>
            </w14:solidFill>
          </w14:textFill>
        </w:rPr>
      </w:pPr>
      <w:r>
        <w:rPr>
          <w:rFonts w:hint="default" w:ascii="Times New Roman" w:hAnsi="Times New Roman" w:eastAsia="黑体" w:cs="Times New Roman"/>
          <w:color w:val="000000" w:themeColor="text1"/>
          <w:sz w:val="32"/>
          <w:highlight w:val="none"/>
          <w14:textFill>
            <w14:solidFill>
              <w14:schemeClr w14:val="tx1"/>
            </w14:solidFill>
          </w14:textFill>
        </w:rPr>
        <w:t>21.人社部门就业专项经费</w:t>
      </w:r>
    </w:p>
    <w:p w14:paraId="5FFAB5A7">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楷体" w:cs="Times New Roman"/>
          <w:color w:val="000000" w:themeColor="text1"/>
          <w:sz w:val="32"/>
          <w:highlight w:val="none"/>
          <w14:textFill>
            <w14:solidFill>
              <w14:schemeClr w14:val="tx1"/>
            </w14:solidFill>
          </w14:textFill>
        </w:rPr>
        <w:t>指标来源：</w:t>
      </w:r>
      <w:r>
        <w:rPr>
          <w:rFonts w:hint="default" w:ascii="Times New Roman" w:hAnsi="Times New Roman" w:eastAsia="仿宋_GB2312" w:cs="Times New Roman"/>
          <w:color w:val="000000" w:themeColor="text1"/>
          <w:sz w:val="32"/>
          <w:highlight w:val="none"/>
          <w14:textFill>
            <w14:solidFill>
              <w14:schemeClr w14:val="tx1"/>
            </w14:solidFill>
          </w14:textFill>
        </w:rPr>
        <w:t>《关于就业专项资金使用管理及有关问题的通知》</w:t>
      </w:r>
      <w:r>
        <w:rPr>
          <w:rFonts w:hint="eastAsia" w:ascii="Times New Roman" w:hAnsi="Times New Roman" w:eastAsia="仿宋_GB2312" w:cs="Times New Roman"/>
          <w:color w:val="000000" w:themeColor="text1"/>
          <w:sz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财社〔2008〕269号</w:t>
      </w:r>
      <w:r>
        <w:rPr>
          <w:rFonts w:hint="eastAsia" w:ascii="Times New Roman" w:hAnsi="Times New Roman" w:eastAsia="仿宋_GB2312" w:cs="Times New Roman"/>
          <w:color w:val="000000" w:themeColor="text1"/>
          <w:sz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highlight w:val="none"/>
          <w14:textFill>
            <w14:solidFill>
              <w14:schemeClr w14:val="tx1"/>
            </w14:solidFill>
          </w14:textFill>
        </w:rPr>
        <w:t>，《关于进一步加强就业专项资金管理有关问题的通知》（财社〔2011〕64号）</w:t>
      </w:r>
    </w:p>
    <w:p w14:paraId="6553622D">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统计口径及计算方法：</w:t>
      </w:r>
    </w:p>
    <w:p w14:paraId="4CAEDD06">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（1）获得人社部门就业专项经费是指学校就业经费中从人社部门获得的经费</w:t>
      </w:r>
      <w:r>
        <w:rPr>
          <w:rFonts w:hint="default" w:ascii="Times New Roman" w:hAnsi="Times New Roman" w:eastAsia="仿宋_GB2312" w:cs="Times New Roman"/>
          <w:color w:val="000000"/>
          <w:sz w:val="32"/>
          <w:highlight w:val="none"/>
        </w:rPr>
        <w:t>，</w:t>
      </w:r>
      <w:r>
        <w:rPr>
          <w:rFonts w:hint="default" w:ascii="Times New Roman" w:hAnsi="Times New Roman" w:eastAsia="仿宋_GB2312" w:cs="Times New Roman"/>
          <w:color w:val="000000" w:themeColor="text1"/>
          <w:sz w:val="32"/>
          <w:highlight w:val="none"/>
          <w14:textFill>
            <w14:solidFill>
              <w14:schemeClr w14:val="tx1"/>
            </w14:solidFill>
          </w14:textFill>
        </w:rPr>
        <w:t>学校就业工作总经费是指学校就业工作经费支出总和。</w:t>
      </w:r>
    </w:p>
    <w:p w14:paraId="3106E3D2">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z w:val="32"/>
          <w:highlight w:val="none"/>
          <w14:textFill>
            <w14:solidFill>
              <w14:schemeClr w14:val="tx1"/>
            </w14:solidFill>
          </w14:textFill>
        </w:rPr>
        <w:t>（2）获得人社部门就业专项经费占比=学校获得人社部门就业专项经费/学校就业工作总经费。</w:t>
      </w:r>
    </w:p>
    <w:p w14:paraId="4379B760">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p>
    <w:p w14:paraId="5B68AEC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p>
    <w:p w14:paraId="21BD0163">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p>
    <w:p w14:paraId="350E88D0">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p>
    <w:p w14:paraId="31E1FC35">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p>
    <w:p w14:paraId="24C38D91">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p>
    <w:p w14:paraId="382E732D">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p>
    <w:p w14:paraId="6CE152BF">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p>
    <w:p w14:paraId="1D94AD3E">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p>
    <w:p w14:paraId="3F33261D">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p>
    <w:p w14:paraId="0844F763">
      <w:pPr>
        <w:spacing w:line="560" w:lineRule="exact"/>
        <w:ind w:firstLine="640" w:firstLineChars="200"/>
        <w:rPr>
          <w:rFonts w:hint="default" w:ascii="Times New Roman" w:hAnsi="Times New Roman" w:eastAsia="仿宋_GB2312" w:cs="Times New Roman"/>
          <w:color w:val="000000" w:themeColor="text1"/>
          <w:sz w:val="32"/>
          <w:highlight w:val="none"/>
          <w14:textFill>
            <w14:solidFill>
              <w14:schemeClr w14:val="tx1"/>
            </w14:solidFill>
          </w14:textFill>
        </w:rPr>
      </w:pPr>
    </w:p>
    <w:p w14:paraId="347D14FD">
      <w:pPr>
        <w:spacing w:line="560" w:lineRule="exact"/>
        <w:ind w:firstLine="0" w:firstLineChars="0"/>
        <w:rPr>
          <w:rFonts w:hint="default" w:ascii="Times New Roman" w:hAnsi="Times New Roman" w:eastAsia="仿宋_GB2312" w:cs="Times New Roman"/>
          <w:color w:val="000000" w:themeColor="text1"/>
          <w:sz w:val="32"/>
          <w:highlight w:val="none"/>
          <w14:textFill>
            <w14:solidFill>
              <w14:schemeClr w14:val="tx1"/>
            </w14:solidFill>
          </w14:textFill>
        </w:rPr>
      </w:pPr>
    </w:p>
    <w:bookmarkEnd w:id="0"/>
    <w:bookmarkEnd w:id="1"/>
    <w:bookmarkEnd w:id="2"/>
    <w:p w14:paraId="658484D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themeColor="text1"/>
          <w:sz w:val="28"/>
          <w:highlight w:val="none"/>
          <w:lang w:val="en-US" w:eastAsia="zh-CN"/>
          <w14:textFill>
            <w14:solidFill>
              <w14:schemeClr w14:val="tx1"/>
            </w14:solidFill>
          </w14:textFill>
        </w:rPr>
      </w:pPr>
      <w:bookmarkStart w:id="3" w:name="_GoBack"/>
      <w:bookmarkEnd w:id="3"/>
    </w:p>
    <w:sectPr>
      <w:pgSz w:w="11906" w:h="16838"/>
      <w:pgMar w:top="2098" w:right="1531" w:bottom="1984" w:left="1531" w:header="851" w:footer="992" w:gutter="0"/>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9B7FF92-E932-4623-8D12-088B6184FCA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2" w:fontKey="{46652401-AE4F-45E0-AEDC-A5E26BB6B590}"/>
  </w:font>
  <w:font w:name="方正小标宋简体">
    <w:panose1 w:val="02000000000000000000"/>
    <w:charset w:val="86"/>
    <w:family w:val="script"/>
    <w:pitch w:val="default"/>
    <w:sig w:usb0="A00002BF" w:usb1="184F6CFA" w:usb2="00000012" w:usb3="00000000" w:csb0="00040001" w:csb1="00000000"/>
    <w:embedRegular r:id="rId3" w:fontKey="{9C3889BE-34E2-4AB1-9628-67EC2B9D3528}"/>
  </w:font>
  <w:font w:name="楷体_GB2312">
    <w:panose1 w:val="02010609030101010101"/>
    <w:charset w:val="86"/>
    <w:family w:val="auto"/>
    <w:pitch w:val="default"/>
    <w:sig w:usb0="00000001" w:usb1="080E0000" w:usb2="00000000" w:usb3="00000000" w:csb0="00040000" w:csb1="00000000"/>
    <w:embedRegular r:id="rId4" w:fontKey="{5858B6CE-CBE4-48BD-A05D-3BA8BEDD7131}"/>
  </w:font>
  <w:font w:name="楷体">
    <w:panose1 w:val="02010609060101010101"/>
    <w:charset w:val="86"/>
    <w:family w:val="modern"/>
    <w:pitch w:val="default"/>
    <w:sig w:usb0="800002BF" w:usb1="38CF7CFA" w:usb2="00000016" w:usb3="00000000" w:csb0="00040001" w:csb1="00000000"/>
    <w:embedRegular r:id="rId5" w:fontKey="{354C5E32-BFBA-441F-BC41-D804FB7B4E53}"/>
  </w:font>
  <w:font w:name="Cambria Math">
    <w:panose1 w:val="02040503050406030204"/>
    <w:charset w:val="00"/>
    <w:family w:val="roman"/>
    <w:pitch w:val="default"/>
    <w:sig w:usb0="E00006FF" w:usb1="420024FF" w:usb2="02000000" w:usb3="00000000" w:csb0="2000019F" w:csb1="00000000"/>
    <w:embedRegular r:id="rId6" w:fontKey="{0C93D917-DF63-4EBB-9FDE-A574EEEDF23D}"/>
  </w:font>
  <w:font w:name="仿宋">
    <w:panose1 w:val="02010609060101010101"/>
    <w:charset w:val="86"/>
    <w:family w:val="modern"/>
    <w:pitch w:val="default"/>
    <w:sig w:usb0="800002BF" w:usb1="38CF7CFA" w:usb2="00000016" w:usb3="00000000" w:csb0="00040001"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855E3">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E81233">
                          <w:pPr>
                            <w:pStyle w:val="6"/>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6</w:t>
                          </w:r>
                          <w:r>
                            <w:rPr>
                              <w:rFonts w:ascii="Times New Roman" w:hAnsi="Times New Roman"/>
                              <w:sz w:val="28"/>
                              <w:szCs w:val="28"/>
                            </w:rPr>
                            <w:fldChar w:fldCharType="end"/>
                          </w:r>
                          <w:r>
                            <w:rPr>
                              <w:rFonts w:ascii="Times New Roman" w:hAnsi="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8E81233">
                    <w:pPr>
                      <w:pStyle w:val="6"/>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6</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235"/>
    <w:rsid w:val="00014369"/>
    <w:rsid w:val="00045529"/>
    <w:rsid w:val="00053A7B"/>
    <w:rsid w:val="00061C33"/>
    <w:rsid w:val="000921F3"/>
    <w:rsid w:val="000B38EC"/>
    <w:rsid w:val="000E32ED"/>
    <w:rsid w:val="001176E0"/>
    <w:rsid w:val="00122982"/>
    <w:rsid w:val="001518D5"/>
    <w:rsid w:val="001608FD"/>
    <w:rsid w:val="00172FFE"/>
    <w:rsid w:val="00184919"/>
    <w:rsid w:val="001868E5"/>
    <w:rsid w:val="001A0648"/>
    <w:rsid w:val="002032C5"/>
    <w:rsid w:val="00224415"/>
    <w:rsid w:val="00234350"/>
    <w:rsid w:val="002464DE"/>
    <w:rsid w:val="00265215"/>
    <w:rsid w:val="00274851"/>
    <w:rsid w:val="002A3ED0"/>
    <w:rsid w:val="002B0967"/>
    <w:rsid w:val="002B34C7"/>
    <w:rsid w:val="002B4EDE"/>
    <w:rsid w:val="002D2284"/>
    <w:rsid w:val="002D4EF8"/>
    <w:rsid w:val="002E7BDA"/>
    <w:rsid w:val="002E7CA4"/>
    <w:rsid w:val="003208C2"/>
    <w:rsid w:val="003562A6"/>
    <w:rsid w:val="00364F12"/>
    <w:rsid w:val="00383E90"/>
    <w:rsid w:val="003909D4"/>
    <w:rsid w:val="00393B17"/>
    <w:rsid w:val="003B62D0"/>
    <w:rsid w:val="003C6003"/>
    <w:rsid w:val="003E34F0"/>
    <w:rsid w:val="003E7CA2"/>
    <w:rsid w:val="00426CCD"/>
    <w:rsid w:val="004408A8"/>
    <w:rsid w:val="00445E65"/>
    <w:rsid w:val="004A08BF"/>
    <w:rsid w:val="004B4EB4"/>
    <w:rsid w:val="004D4739"/>
    <w:rsid w:val="004F3873"/>
    <w:rsid w:val="004F3C81"/>
    <w:rsid w:val="004F5794"/>
    <w:rsid w:val="005069BD"/>
    <w:rsid w:val="005106DB"/>
    <w:rsid w:val="00522923"/>
    <w:rsid w:val="005368E8"/>
    <w:rsid w:val="00547FF6"/>
    <w:rsid w:val="00550B81"/>
    <w:rsid w:val="00562C43"/>
    <w:rsid w:val="005A21AB"/>
    <w:rsid w:val="005A2E50"/>
    <w:rsid w:val="005D3694"/>
    <w:rsid w:val="005F38A8"/>
    <w:rsid w:val="0061032F"/>
    <w:rsid w:val="006154CD"/>
    <w:rsid w:val="0063526E"/>
    <w:rsid w:val="00650226"/>
    <w:rsid w:val="006A5E05"/>
    <w:rsid w:val="006B24AE"/>
    <w:rsid w:val="006B5038"/>
    <w:rsid w:val="006F1F01"/>
    <w:rsid w:val="007366D4"/>
    <w:rsid w:val="00743B92"/>
    <w:rsid w:val="007511ED"/>
    <w:rsid w:val="00752913"/>
    <w:rsid w:val="00761D86"/>
    <w:rsid w:val="0076316A"/>
    <w:rsid w:val="00771332"/>
    <w:rsid w:val="00782191"/>
    <w:rsid w:val="00783E92"/>
    <w:rsid w:val="007A0045"/>
    <w:rsid w:val="007B2861"/>
    <w:rsid w:val="007B7BDA"/>
    <w:rsid w:val="007C4A85"/>
    <w:rsid w:val="007E1AC1"/>
    <w:rsid w:val="007E1BED"/>
    <w:rsid w:val="00804BFE"/>
    <w:rsid w:val="00805F40"/>
    <w:rsid w:val="00827DFC"/>
    <w:rsid w:val="00843F52"/>
    <w:rsid w:val="0084792E"/>
    <w:rsid w:val="00866235"/>
    <w:rsid w:val="00871F39"/>
    <w:rsid w:val="0088645B"/>
    <w:rsid w:val="00887253"/>
    <w:rsid w:val="008C746C"/>
    <w:rsid w:val="008C7E5F"/>
    <w:rsid w:val="009153BE"/>
    <w:rsid w:val="00917821"/>
    <w:rsid w:val="00932DE9"/>
    <w:rsid w:val="00942028"/>
    <w:rsid w:val="009459AC"/>
    <w:rsid w:val="00950C0C"/>
    <w:rsid w:val="00983D98"/>
    <w:rsid w:val="00994232"/>
    <w:rsid w:val="009A1B48"/>
    <w:rsid w:val="009A309A"/>
    <w:rsid w:val="009D57FA"/>
    <w:rsid w:val="009E64B9"/>
    <w:rsid w:val="00A065F8"/>
    <w:rsid w:val="00A35BA3"/>
    <w:rsid w:val="00A4429C"/>
    <w:rsid w:val="00A55A66"/>
    <w:rsid w:val="00A90D47"/>
    <w:rsid w:val="00AC2AA2"/>
    <w:rsid w:val="00AD1D04"/>
    <w:rsid w:val="00AE5B44"/>
    <w:rsid w:val="00B00A8E"/>
    <w:rsid w:val="00B166A7"/>
    <w:rsid w:val="00B243DA"/>
    <w:rsid w:val="00B32AA5"/>
    <w:rsid w:val="00B65E47"/>
    <w:rsid w:val="00B76B2E"/>
    <w:rsid w:val="00B834FF"/>
    <w:rsid w:val="00B8684A"/>
    <w:rsid w:val="00B92FA1"/>
    <w:rsid w:val="00BB31C4"/>
    <w:rsid w:val="00C03B69"/>
    <w:rsid w:val="00C1738C"/>
    <w:rsid w:val="00C2669E"/>
    <w:rsid w:val="00C65134"/>
    <w:rsid w:val="00C661DF"/>
    <w:rsid w:val="00C73827"/>
    <w:rsid w:val="00C8532C"/>
    <w:rsid w:val="00C874DA"/>
    <w:rsid w:val="00CC07AC"/>
    <w:rsid w:val="00D16262"/>
    <w:rsid w:val="00D17648"/>
    <w:rsid w:val="00D24BD6"/>
    <w:rsid w:val="00D56440"/>
    <w:rsid w:val="00D70D8E"/>
    <w:rsid w:val="00D82631"/>
    <w:rsid w:val="00DA2FF1"/>
    <w:rsid w:val="00DC1F2C"/>
    <w:rsid w:val="00DF08CE"/>
    <w:rsid w:val="00E031EE"/>
    <w:rsid w:val="00E16795"/>
    <w:rsid w:val="00E32878"/>
    <w:rsid w:val="00E37303"/>
    <w:rsid w:val="00E621B6"/>
    <w:rsid w:val="00E7351D"/>
    <w:rsid w:val="00E864F3"/>
    <w:rsid w:val="00E90B43"/>
    <w:rsid w:val="00EB1089"/>
    <w:rsid w:val="00F054D6"/>
    <w:rsid w:val="00F13CC7"/>
    <w:rsid w:val="00F23D80"/>
    <w:rsid w:val="00F37E1C"/>
    <w:rsid w:val="00F451CD"/>
    <w:rsid w:val="00F72532"/>
    <w:rsid w:val="00F805F5"/>
    <w:rsid w:val="00F80737"/>
    <w:rsid w:val="00F8274F"/>
    <w:rsid w:val="00F83A92"/>
    <w:rsid w:val="00F86F8F"/>
    <w:rsid w:val="00F87EBC"/>
    <w:rsid w:val="00FA5162"/>
    <w:rsid w:val="00FC034D"/>
    <w:rsid w:val="00FF0AD6"/>
    <w:rsid w:val="00FF0EAE"/>
    <w:rsid w:val="00FF7664"/>
    <w:rsid w:val="01814556"/>
    <w:rsid w:val="02413000"/>
    <w:rsid w:val="056D77F4"/>
    <w:rsid w:val="05845F29"/>
    <w:rsid w:val="070E41A0"/>
    <w:rsid w:val="08FA6E92"/>
    <w:rsid w:val="08FE3941"/>
    <w:rsid w:val="09781795"/>
    <w:rsid w:val="097D7782"/>
    <w:rsid w:val="0BB743C6"/>
    <w:rsid w:val="0BC1385B"/>
    <w:rsid w:val="0C3C46FF"/>
    <w:rsid w:val="0E300D9B"/>
    <w:rsid w:val="0FE06513"/>
    <w:rsid w:val="116A4DD1"/>
    <w:rsid w:val="13B2095E"/>
    <w:rsid w:val="14BE79B9"/>
    <w:rsid w:val="159C4128"/>
    <w:rsid w:val="16042C60"/>
    <w:rsid w:val="162A6437"/>
    <w:rsid w:val="170F6D52"/>
    <w:rsid w:val="1852269E"/>
    <w:rsid w:val="18952734"/>
    <w:rsid w:val="18D771F0"/>
    <w:rsid w:val="1A8E38DF"/>
    <w:rsid w:val="1BDB4749"/>
    <w:rsid w:val="1BEC0841"/>
    <w:rsid w:val="1C4D3FBE"/>
    <w:rsid w:val="1D1C52EE"/>
    <w:rsid w:val="1DF36AFC"/>
    <w:rsid w:val="20FF1092"/>
    <w:rsid w:val="210B2CE8"/>
    <w:rsid w:val="216175E8"/>
    <w:rsid w:val="216E6218"/>
    <w:rsid w:val="22DB168B"/>
    <w:rsid w:val="239D4B92"/>
    <w:rsid w:val="25783B09"/>
    <w:rsid w:val="257B3A6D"/>
    <w:rsid w:val="25871E1F"/>
    <w:rsid w:val="25D24FC7"/>
    <w:rsid w:val="25E42111"/>
    <w:rsid w:val="26996A66"/>
    <w:rsid w:val="285C6669"/>
    <w:rsid w:val="29394CD3"/>
    <w:rsid w:val="296028EA"/>
    <w:rsid w:val="2A0E12D0"/>
    <w:rsid w:val="2A647A89"/>
    <w:rsid w:val="2A824904"/>
    <w:rsid w:val="2D056C3F"/>
    <w:rsid w:val="2E5B0CD1"/>
    <w:rsid w:val="2EC423E8"/>
    <w:rsid w:val="30E77430"/>
    <w:rsid w:val="31E3230A"/>
    <w:rsid w:val="31EC1853"/>
    <w:rsid w:val="32405FF4"/>
    <w:rsid w:val="32E2418A"/>
    <w:rsid w:val="337E5DA9"/>
    <w:rsid w:val="340427A9"/>
    <w:rsid w:val="362117AF"/>
    <w:rsid w:val="376A5878"/>
    <w:rsid w:val="39830040"/>
    <w:rsid w:val="39F77C45"/>
    <w:rsid w:val="3A1A3527"/>
    <w:rsid w:val="3CB84718"/>
    <w:rsid w:val="3CE07B72"/>
    <w:rsid w:val="3DA54918"/>
    <w:rsid w:val="3E190EC4"/>
    <w:rsid w:val="3E7A5400"/>
    <w:rsid w:val="40747753"/>
    <w:rsid w:val="409A7046"/>
    <w:rsid w:val="40FE467D"/>
    <w:rsid w:val="41DC3BEC"/>
    <w:rsid w:val="43AB3E35"/>
    <w:rsid w:val="46422FFF"/>
    <w:rsid w:val="46EC3681"/>
    <w:rsid w:val="480E4A06"/>
    <w:rsid w:val="49B05C8C"/>
    <w:rsid w:val="4A3D1B01"/>
    <w:rsid w:val="4B6C4CC7"/>
    <w:rsid w:val="4C334438"/>
    <w:rsid w:val="4D0B118F"/>
    <w:rsid w:val="4D530F87"/>
    <w:rsid w:val="4D6C0776"/>
    <w:rsid w:val="4D756440"/>
    <w:rsid w:val="4ECF5C98"/>
    <w:rsid w:val="4EE87AC3"/>
    <w:rsid w:val="4EF474AD"/>
    <w:rsid w:val="4F9D18F3"/>
    <w:rsid w:val="4FB0014A"/>
    <w:rsid w:val="505638DE"/>
    <w:rsid w:val="505F4DFA"/>
    <w:rsid w:val="508A64F4"/>
    <w:rsid w:val="51D15A56"/>
    <w:rsid w:val="52771ABC"/>
    <w:rsid w:val="532540D9"/>
    <w:rsid w:val="532B7FA6"/>
    <w:rsid w:val="54890697"/>
    <w:rsid w:val="55D02C8E"/>
    <w:rsid w:val="55D759BB"/>
    <w:rsid w:val="57142DE3"/>
    <w:rsid w:val="57842C6E"/>
    <w:rsid w:val="57953196"/>
    <w:rsid w:val="57A94728"/>
    <w:rsid w:val="584A0070"/>
    <w:rsid w:val="58882ACE"/>
    <w:rsid w:val="589D71F0"/>
    <w:rsid w:val="5B2874A0"/>
    <w:rsid w:val="5C3E7FB9"/>
    <w:rsid w:val="5CB03D36"/>
    <w:rsid w:val="5D1C654D"/>
    <w:rsid w:val="5DA84231"/>
    <w:rsid w:val="5E266A88"/>
    <w:rsid w:val="60485D41"/>
    <w:rsid w:val="608F42D7"/>
    <w:rsid w:val="63C70C44"/>
    <w:rsid w:val="64F85C89"/>
    <w:rsid w:val="652C7F50"/>
    <w:rsid w:val="674C3ED2"/>
    <w:rsid w:val="677F0A4C"/>
    <w:rsid w:val="67EE4E4A"/>
    <w:rsid w:val="6B427AC6"/>
    <w:rsid w:val="6B470B27"/>
    <w:rsid w:val="6B536809"/>
    <w:rsid w:val="6B6555BF"/>
    <w:rsid w:val="6CEC7B2C"/>
    <w:rsid w:val="6DE52928"/>
    <w:rsid w:val="6E1D6381"/>
    <w:rsid w:val="6E58315D"/>
    <w:rsid w:val="6F9841A1"/>
    <w:rsid w:val="70135F91"/>
    <w:rsid w:val="70623849"/>
    <w:rsid w:val="71DC5E53"/>
    <w:rsid w:val="72451C4A"/>
    <w:rsid w:val="74940E19"/>
    <w:rsid w:val="764F053A"/>
    <w:rsid w:val="767F3B79"/>
    <w:rsid w:val="774A4480"/>
    <w:rsid w:val="776D66FE"/>
    <w:rsid w:val="77B277F1"/>
    <w:rsid w:val="794C38BE"/>
    <w:rsid w:val="799C0F00"/>
    <w:rsid w:val="7ADF1AB2"/>
    <w:rsid w:val="7BC97448"/>
    <w:rsid w:val="7C2E0778"/>
    <w:rsid w:val="7C51022E"/>
    <w:rsid w:val="7C745605"/>
    <w:rsid w:val="7DA106A4"/>
    <w:rsid w:val="7F6FC565"/>
    <w:rsid w:val="7FC04214"/>
    <w:rsid w:val="BDF61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qFormat/>
    <w:uiPriority w:val="0"/>
    <w:rPr>
      <w:rFonts w:ascii="微软雅黑" w:hAnsi="微软雅黑" w:eastAsia="微软雅黑" w:cs="微软雅黑"/>
      <w:sz w:val="29"/>
      <w:szCs w:val="29"/>
      <w:lang w:eastAsia="en-US"/>
    </w:rPr>
  </w:style>
  <w:style w:type="paragraph" w:styleId="5">
    <w:name w:val="Balloon Text"/>
    <w:basedOn w:val="1"/>
    <w:link w:val="12"/>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99"/>
    <w:pPr>
      <w:ind w:firstLine="420" w:firstLineChars="200"/>
    </w:pPr>
  </w:style>
  <w:style w:type="character" w:customStyle="1" w:styleId="12">
    <w:name w:val="批注框文本 字符"/>
    <w:basedOn w:val="10"/>
    <w:link w:val="5"/>
    <w:qFormat/>
    <w:uiPriority w:val="0"/>
    <w:rPr>
      <w:kern w:val="2"/>
      <w:sz w:val="18"/>
      <w:szCs w:val="18"/>
    </w:rPr>
  </w:style>
  <w:style w:type="character" w:customStyle="1" w:styleId="13">
    <w:name w:val="font41"/>
    <w:basedOn w:val="10"/>
    <w:qFormat/>
    <w:uiPriority w:val="0"/>
    <w:rPr>
      <w:rFonts w:hint="default" w:ascii="Times New Roman" w:hAnsi="Times New Roman" w:cs="Times New Roman"/>
      <w:color w:val="000000"/>
      <w:sz w:val="28"/>
      <w:szCs w:val="28"/>
      <w:u w:val="none"/>
    </w:rPr>
  </w:style>
  <w:style w:type="character" w:customStyle="1" w:styleId="14">
    <w:name w:val="font81"/>
    <w:basedOn w:val="10"/>
    <w:qFormat/>
    <w:uiPriority w:val="0"/>
    <w:rPr>
      <w:rFonts w:ascii="仿宋_GB2312" w:eastAsia="仿宋_GB2312" w:cs="仿宋_GB2312"/>
      <w:color w:val="000000"/>
      <w:sz w:val="28"/>
      <w:szCs w:val="28"/>
      <w:u w:val="none"/>
    </w:rPr>
  </w:style>
  <w:style w:type="character" w:customStyle="1" w:styleId="15">
    <w:name w:val="font91"/>
    <w:basedOn w:val="10"/>
    <w:qFormat/>
    <w:uiPriority w:val="0"/>
    <w:rPr>
      <w:rFonts w:hint="eastAsia" w:ascii="宋体" w:hAnsi="宋体" w:eastAsia="宋体" w:cs="宋体"/>
      <w:color w:val="000000"/>
      <w:sz w:val="28"/>
      <w:szCs w:val="28"/>
      <w:u w:val="none"/>
    </w:rPr>
  </w:style>
  <w:style w:type="character" w:customStyle="1" w:styleId="16">
    <w:name w:val="font71"/>
    <w:basedOn w:val="10"/>
    <w:qFormat/>
    <w:uiPriority w:val="0"/>
    <w:rPr>
      <w:rFonts w:hint="eastAsia" w:ascii="仿宋_GB2312" w:eastAsia="仿宋_GB2312" w:cs="仿宋_GB2312"/>
      <w:color w:val="000000"/>
      <w:sz w:val="28"/>
      <w:szCs w:val="28"/>
      <w:u w:val="none"/>
    </w:rPr>
  </w:style>
  <w:style w:type="character" w:customStyle="1" w:styleId="17">
    <w:name w:val="font51"/>
    <w:basedOn w:val="10"/>
    <w:qFormat/>
    <w:uiPriority w:val="0"/>
    <w:rPr>
      <w:rFonts w:hint="default" w:ascii="Times New Roman" w:hAnsi="Times New Roman" w:cs="Times New Roman"/>
      <w:color w:val="000000"/>
      <w:sz w:val="28"/>
      <w:szCs w:val="28"/>
      <w:u w:val="none"/>
    </w:rPr>
  </w:style>
  <w:style w:type="character" w:customStyle="1" w:styleId="18">
    <w:name w:val="font101"/>
    <w:basedOn w:val="10"/>
    <w:qFormat/>
    <w:uiPriority w:val="0"/>
    <w:rPr>
      <w:rFonts w:hint="eastAsia" w:ascii="宋体" w:hAnsi="宋体" w:eastAsia="宋体" w:cs="宋体"/>
      <w:color w:val="000000"/>
      <w:sz w:val="28"/>
      <w:szCs w:val="28"/>
      <w:u w:val="none"/>
    </w:rPr>
  </w:style>
  <w:style w:type="character" w:customStyle="1" w:styleId="19">
    <w:name w:val="font31"/>
    <w:basedOn w:val="10"/>
    <w:qFormat/>
    <w:uiPriority w:val="0"/>
    <w:rPr>
      <w:rFonts w:hint="default" w:ascii="Times New Roman" w:hAnsi="Times New Roman" w:cs="Times New Roman"/>
      <w:color w:val="0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6d7ca08d-d5db-4861-8587-c68fb85a5408</errorID>
      <errorWord>。</errorWord>
      <group>L1_Punc</group>
      <groupName>标点问题</groupName>
      <ability>L2_Punc</ability>
      <abilityName>标点符号检查</abilityName>
      <candidateList>
        <item/>
      </candidateList>
      <explain>标题文本后不使用标点符号。</explain>
      <paraID>6037952D</paraID>
      <start>9</start>
      <end>10</end>
      <status>unmodified</status>
      <modifiedWord/>
      <trackRevisions>false</trackRevisions>
    </reviewItem>
    <reviewItem>
      <errorID>6dce2a7f-3546-45e2-9b2e-f06293d8abda</errorID>
      <errorWord>。</errorWord>
      <group>L1_Punc</group>
      <groupName>标点问题</groupName>
      <ability>L2_Punc</ability>
      <abilityName>标点符号检查</abilityName>
      <candidateList>
        <item/>
      </candidateList>
      <explain>标题文本后不使用标点符号。</explain>
      <paraID>6A55FFC8</paraID>
      <start>9</start>
      <end>10</end>
      <status>ignored</status>
      <modifiedWord/>
      <trackRevisions>false</trackRevisions>
    </reviewItem>
    <reviewItem>
      <errorID>11631f71-152d-4264-a7e8-113baae49b70</errorID>
      <errorWord>。</errorWord>
      <group>L1_Punc</group>
      <groupName>标点问题</groupName>
      <ability>L2_Punc</ability>
      <abilityName>标点符号检查</abilityName>
      <candidateList>
        <item/>
      </candidateList>
      <explain>标题文本后不使用标点符号。</explain>
      <paraID>7FCFDABF</paraID>
      <start>9</start>
      <end>10</end>
      <status>ignored</status>
      <modifiedWord/>
      <trackRevisions>false</trackRevisions>
    </reviewItem>
    <reviewItem>
      <errorID>cc5c12f4-477a-4911-8540-d2ed190d891b</errorID>
      <errorWord>。</errorWord>
      <group>L1_Punc</group>
      <groupName>标点问题</groupName>
      <ability>L2_Punc</ability>
      <abilityName>标点符号检查</abilityName>
      <candidateList>
        <item/>
      </candidateList>
      <explain>标题文本后不使用标点符号。</explain>
      <paraID>5E3557FC</paraID>
      <start>9</start>
      <end>10</end>
      <status>ignored</status>
      <modifiedWord/>
      <trackRevisions>false</trackRevisions>
    </reviewItem>
    <reviewItem>
      <errorID>c0dde638-bbc7-4862-8faa-0537324b1cbd</errorID>
      <errorWord>“双师”型教师</errorWord>
      <group>L1_Political</group>
      <groupName>政治性问题</groupName>
      <ability>L2_Keyword</ability>
      <abilityName>固定表述</abilityName>
      <candidateList>
        <item>“双师型”教师</item>
      </candidateList>
      <explain>注意检查当前固定表述标点是否使用规范。</explain>
      <paraID>15CBA893</paraID>
      <start>3</start>
      <end>10</end>
      <status>unmodified</status>
      <modifiedWord/>
      <trackRevisions>false</trackRevisions>
    </reviewItem>
    <reviewItem>
      <errorID>ae7adab2-5a34-44d8-9a49-f1d900e6c03c</errorID>
      <errorWord>“双师”型教师</errorWord>
      <group>L1_Political</group>
      <groupName>政治性问题</groupName>
      <ability>L2_Keyword</ability>
      <abilityName>固定表述</abilityName>
      <candidateList>
        <item>“双师型”教师</item>
      </candidateList>
      <explain>注意检查当前固定表述标点是否使用规范。</explain>
      <paraID>7FF53AFB</paraID>
      <start>3</start>
      <end>10</end>
      <status>ignored</status>
      <modifiedWord/>
      <trackRevisions>false</trackRevisions>
    </reviewItem>
    <reviewItem>
      <errorID>615584b1-9541-4f26-ab39-fb63204f0c19</errorID>
      <errorWord>：</errorWord>
      <group>L1_Format</group>
      <groupName>格式问题</groupName>
      <ability>L2_HalfPunc</ability>
      <abilityName>全半角检查</abilityName>
      <candidateList>
        <item>:</item>
      </candidateList>
      <explain>文本全半角错误。</explain>
      <paraID>54D2944E</paraID>
      <start>2</start>
      <end>3</end>
      <status>unmodified</status>
      <modifiedWord/>
      <trackRevisions>false</trackRevisions>
    </reviewItem>
    <reviewItem>
      <errorID>1925fe7c-da45-4fb3-b00e-e509c2f4ba25</errorID>
      <errorWord>：</errorWord>
      <group>L1_Format</group>
      <groupName>格式问题</groupName>
      <ability>L2_HalfPunc</ability>
      <abilityName>全半角检查</abilityName>
      <candidateList>
        <item>:</item>
      </candidateList>
      <explain>文本全半角错误。</explain>
      <paraID>17793B9A</paraID>
      <start>2</start>
      <end>3</end>
      <status>ignored</status>
      <modifiedWord/>
      <trackRevisions>false</trackRevisions>
    </reviewItem>
    <reviewItem>
      <errorID>8b818fef-eb84-42c5-a23f-9a54002e76b2</errorID>
      <errorWord>：</errorWord>
      <group>L1_Format</group>
      <groupName>格式问题</groupName>
      <ability>L2_HalfPunc</ability>
      <abilityName>全半角检查</abilityName>
      <candidateList>
        <item>:</item>
      </candidateList>
      <explain>文本全半角错误。</explain>
      <paraID>16B59576</paraID>
      <start>2</start>
      <end>3</end>
      <status>ignored</status>
      <modifiedWord/>
      <trackRevisions>false</trackRevisions>
    </reviewItem>
    <reviewItem>
      <errorID>71c11bd5-42f4-448c-8f45-1e53b17b1ead</errorID>
      <errorWord>数</errorWord>
      <group>L1_Word</group>
      <groupName>字词问题</groupName>
      <ability>L2_Typo</ability>
      <abilityName>字词错误</abilityName>
      <candidateList>
        <item>数量</item>
      </candidateList>
      <explain/>
      <paraID>2263CB5A</paraID>
      <start>25</start>
      <end>26</end>
      <status>unmodified</status>
      <modifiedWord/>
      <trackRevisions>false</trackRevisions>
    </reviewItem>
    <reviewItem>
      <errorID>8e222617-4b14-45de-be51-2e5714888167</errorID>
      <errorWord>》</errorWord>
      <group>L1_Word</group>
      <groupName>字词问题</groupName>
      <ability>L2_Typo</ability>
      <abilityName>字词错误</abilityName>
      <candidateList>
        <item>》和</item>
      </candidateList>
      <explain/>
      <paraID>62D95AD7</paraID>
      <start>19</start>
      <end>20</end>
      <status>unmodified</status>
      <modifiedWord/>
      <trackRevisions>false</trackRevisions>
    </reviewItem>
    <reviewItem>
      <errorID>a4160e76-5982-45dc-9ab3-194a1b5bf3f8</errorID>
      <errorWord>》</errorWord>
      <group>L1_Word</group>
      <groupName>字词问题</groupName>
      <ability>L2_Typo</ability>
      <abilityName>字词错误</abilityName>
      <candidateList>
        <item>》和</item>
      </candidateList>
      <explain/>
      <paraID>6E9FD822</paraID>
      <start>49</start>
      <end>50</end>
      <status>ignored</status>
      <modifiedWord/>
      <trackRevisions>false</trackRevisions>
    </reviewItem>
    <reviewItem>
      <errorID>1a0ef87e-e2fa-49a0-9ad5-c114ee03f1d8</errorID>
      <errorWord>（</errorWord>
      <group>L1_Punc</group>
      <groupName>标点问题</groupName>
      <ability>L2_Punc</ability>
      <abilityName>标点符号检查</abilityName>
      <candidateList/>
      <explain/>
      <paraID>7A358282</paraID>
      <start>109</start>
      <end>110</end>
      <status>unmodified</status>
      <modifiedWord/>
      <trackRevisions>false</trackRevisions>
    </reviewItem>
    <reviewItem>
      <errorID>9d476639-4367-4a7f-97b0-d3e385324b21</errorID>
      <errorWord>“双师”型教师</errorWord>
      <group>L1_Political</group>
      <groupName>政治性问题</groupName>
      <ability>L2_Keyword</ability>
      <abilityName>固定表述</abilityName>
      <candidateList>
        <item>“双师型”教师</item>
      </candidateList>
      <explain>注意检查当前固定表述标点是否使用规范。</explain>
      <paraID>368EA9F5</paraID>
      <start>3</start>
      <end>10</end>
      <status>unmodified</status>
      <modifiedWord/>
      <trackRevisions>false</trackRevisions>
    </reviewItem>
    <reviewItem>
      <errorID>321b2952-b72c-4287-8649-e0899fa8efc5</errorID>
      <errorWord>（</errorWord>
      <group>L1_Punc</group>
      <groupName>标点问题</groupName>
      <ability>L2_Punc</ability>
      <abilityName>标点符号检查</abilityName>
      <candidateList/>
      <explain>同一形式括号套用。</explain>
      <paraID>7E682099</paraID>
      <start>37</start>
      <end>38</end>
      <status>unmodified</status>
      <modifiedWord/>
      <trackRevisions>false</trackRevisions>
    </reviewItem>
    <reviewItem>
      <errorID>a3bfa55f-f750-4fda-8649-e4639cedace1</errorID>
      <errorWord>）</errorWord>
      <group>L1_Punc</group>
      <groupName>标点问题</groupName>
      <ability>L2_Punc</ability>
      <abilityName>标点符号检查</abilityName>
      <candidateList/>
      <explain>同一形式括号套用。</explain>
      <paraID>7E682099</paraID>
      <start>52</start>
      <end>53</end>
      <status>unmodified</status>
      <modifiedWord/>
      <trackRevisions>false</trackRevisions>
    </reviewItem>
    <reviewItem>
      <errorID>15c77dc2-1be9-4cbc-8e7f-2427b51d22ec</errorID>
      <errorWord>并能</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39BD0570</paraID>
      <start>43</start>
      <end>45</end>
      <status>unmodified</status>
      <modifiedWord/>
      <trackRevisions>false</trackRevisions>
    </reviewItem>
    <reviewItem>
      <errorID>80cc2f9e-e521-4aae-9cab-0d02c42d24c8</errorID>
      <errorWord>担当民族复兴重任的时代新人</errorWord>
      <group>L1_Political</group>
      <groupName>政治性问题</groupName>
      <ability>L2_Keyword</ability>
      <abilityName>固定表述</abilityName>
      <candidateList>
        <item>担当民族复兴大任的时代新人</item>
      </candidateList>
      <explain>词汇“担当民族复兴大任的时代新人”在特定场景下为固定表述形式，请确认此处的“担当民族复兴重任的时代新人”是否存在不当。</explain>
      <paraID>3344E2A4</paraID>
      <start>72</start>
      <end>85</end>
      <status>unmodified</status>
      <modifiedWord/>
      <trackRevisions>false</trackRevisions>
    </reviewItem>
    <reviewItem>
      <errorID>0df85145-3da6-46b6-a1c2-9eea75753b8b</errorID>
      <errorWord>意识形态责任制</errorWord>
      <group>L1_Political</group>
      <groupName>政治性问题</groupName>
      <ability>L2_Keyword</ability>
      <abilityName>固定表述</abilityName>
      <candidateList>
        <item>意识形态工作责任制</item>
      </candidateList>
      <explain>词汇“意识形态工作责任制”在特定场景下为固定表述形式，请确认此处的“意识形态责任制”是否存在不当。</explain>
      <paraID>3344E2A4</paraID>
      <start>101</start>
      <end>108</end>
      <status>unmodified</status>
      <modifiedWord/>
      <trackRevisions>false</trackRevisions>
    </reviewItem>
    <reviewItem>
      <errorID>41e18b22-5440-4a34-8c7b-21d1dddf709f</errorID>
      <errorWord>、</errorWord>
      <group>L1_Word</group>
      <groupName>字词问题</groupName>
      <ability>L2_Typo</ability>
      <abilityName>字词错误</abilityName>
      <candidateList>
        <item>、各</item>
      </candidateList>
      <explain/>
      <paraID>3134D8EF</paraID>
      <start>31</start>
      <end>32</end>
      <status>unmodified</status>
      <modifiedWord/>
      <trackRevisions>false</trackRevisions>
    </reviewItem>
    <reviewItem>
      <errorID>d7687c11-5032-453f-8dc2-d8c3db7de0ba</errorID>
      <errorWord>教学相关</errorWord>
      <group>L1_Knowledge</group>
      <groupName>知识性问题</groupName>
      <ability>L2_Idiom</ability>
      <abilityName>成语和诗歌</abilityName>
      <candidateList>
        <item>教学相长</item>
      </candidateList>
      <explain>《礼记·学记》：“学然后知不足，教然后知困。知不足，然后能自反也；知困，然后能自强也。故曰教学相长也。”原意是说，学的人通过学习知道自己不足，教的人通过教别人知道自己还有难点，然后都再去进一步钻研，所以无论学的人还是教的人都能通过教学过程得到提高。现指教和学两方面互相促进，共同提高。长（zhǎng）：增进，提高。</explain>
      <paraID>7559DA2D</paraID>
      <start>7</start>
      <end>11</end>
      <status>unmodified</status>
      <modifiedWord/>
      <trackRevisions>false</trackRevisions>
    </reviewItem>
    <reviewItem>
      <errorID>b37942cc-c475-482f-aead-00bb3ba6fc5b</errorID>
      <errorWord>*</errorWord>
      <group>L1_Punc</group>
      <groupName>标点问题</groupName>
      <ability>L2_Punc</ability>
      <abilityName>标点符号检查</abilityName>
      <candidateList/>
      <explain/>
      <paraID>566481BF</paraID>
      <start>0</start>
      <end>1</end>
      <status>unmodified</status>
      <modifiedWord/>
      <trackRevisions>false</trackRevisions>
    </reviewItem>
    <reviewItem>
      <errorID>fd9641c1-e46f-4707-aa9b-908d26dc315c</errorID>
      <errorWord>*</errorWord>
      <group>L1_Punc</group>
      <groupName>标点问题</groupName>
      <ability>L2_Punc</ability>
      <abilityName>标点符号检查</abilityName>
      <candidateList/>
      <explain/>
      <paraID>5487D469</paraID>
      <start>0</start>
      <end>1</end>
      <status>unmodified</status>
      <modifiedWord/>
      <trackRevisions>false</trackRevisions>
    </reviewItem>
    <reviewItem>
      <errorID>b00b11b1-e73f-4b75-87ce-06cfdc3cce2f</errorID>
      <errorWord>*</errorWord>
      <group>L1_Punc</group>
      <groupName>标点问题</groupName>
      <ability>L2_Punc</ability>
      <abilityName>标点符号检查</abilityName>
      <candidateList/>
      <explain/>
      <paraID>3B2FD6CF</paraID>
      <start>0</start>
      <end>1</end>
      <status>unmodified</status>
      <modifiedWord/>
      <trackRevisions>false</trackRevisions>
    </reviewItem>
    <reviewItem>
      <errorID>ae00f840-1c9e-455f-badd-c4939d520736</errorID>
      <errorWord>担当民族复兴重任的时代新人</errorWord>
      <group>L1_Political</group>
      <groupName>政治性问题</groupName>
      <ability>L2_Keyword</ability>
      <abilityName>固定表述</abilityName>
      <candidateList>
        <item>担当民族复兴大任的时代新人</item>
      </candidateList>
      <explain>词汇“担当民族复兴大任的时代新人”在特定场景下为固定表述形式，请确认此处的“担当民族复兴重任的时代新人”是否存在不当。</explain>
      <paraID>38B73EEC</paraID>
      <start>75</start>
      <end>88</end>
      <status>unmodified</status>
      <modifiedWord/>
      <trackRevisions>false</trackRevisions>
    </reviewItem>
    <reviewItem>
      <errorID>2f2a2e50-7200-412d-93c0-dbb59c9ae255</errorID>
      <errorWord>意识形态责任制</errorWord>
      <group>L1_Political</group>
      <groupName>政治性问题</groupName>
      <ability>L2_Keyword</ability>
      <abilityName>固定表述</abilityName>
      <candidateList>
        <item>意识形态工作责任制</item>
      </candidateList>
      <explain>词汇“意识形态工作责任制”在特定场景下为固定表述形式，请确认此处的“意识形态责任制”是否存在不当。</explain>
      <paraID>38B73EEC</paraID>
      <start>104</start>
      <end>111</end>
      <status>unmodified</status>
      <modifiedWord/>
      <trackRevisions>false</trackRevisions>
    </reviewItem>
    <reviewItem>
      <errorID>ae3fe3f5-d14c-46cc-a748-8882529ee29a</errorID>
      <errorWord>意识形态责任制</errorWord>
      <group>L1_Political</group>
      <groupName>政治性问题</groupName>
      <ability>L2_Keyword</ability>
      <abilityName>固定表述</abilityName>
      <candidateList>
        <item>意识形态工作责任制</item>
      </candidateList>
      <explain>词汇“意识形态工作责任制”在特定场景下为固定表述形式，请确认此处的“意识形态责任制”是否存在不当。</explain>
      <paraID>4F88C745</paraID>
      <start>5</start>
      <end>12</end>
      <status>unmodified</status>
      <modifiedWord/>
      <trackRevisions>false</trackRevisions>
    </reviewItem>
    <reviewItem>
      <errorID>243b27a5-8b5a-488d-882e-47ca2eb0bef4</errorID>
      <errorWord>*</errorWord>
      <group>L1_Punc</group>
      <groupName>标点问题</groupName>
      <ability>L2_Punc</ability>
      <abilityName>标点符号检查</abilityName>
      <candidateList/>
      <explain/>
      <paraID>3B6A748E</paraID>
      <start>0</start>
      <end>1</end>
      <status>ignored</status>
      <modifiedWord/>
      <trackRevisions>false</trackRevisions>
    </reviewItem>
    <reviewItem>
      <errorID>215c82d4-a6d4-4fea-b425-bea6dbde2dbd</errorID>
      <errorWord>*</errorWord>
      <group>L1_Punc</group>
      <groupName>标点问题</groupName>
      <ability>L2_Punc</ability>
      <abilityName>标点符号检查</abilityName>
      <candidateList/>
      <explain/>
      <paraID>6FE7F36F</paraID>
      <start>0</start>
      <end>1</end>
      <status>unmodified</status>
      <modifiedWord/>
      <trackRevisions>false</trackRevisions>
    </reviewItem>
    <reviewItem>
      <errorID>d0cb2de1-df07-4027-9c38-ba4d4eebfd33</errorID>
      <errorWord>*</errorWord>
      <group>L1_Punc</group>
      <groupName>标点问题</groupName>
      <ability>L2_Punc</ability>
      <abilityName>标点符号检查</abilityName>
      <candidateList/>
      <explain/>
      <paraID> DF139DB</paraID>
      <start>0</start>
      <end>1</end>
      <status>unmodified</status>
      <modifiedWord/>
      <trackRevisions>false</trackRevisions>
    </reviewItem>
    <reviewItem>
      <errorID>730f9e34-cd97-4dbc-8283-bb4c0ffe112e</errorID>
      <errorWord>*</errorWord>
      <group>L1_Punc</group>
      <groupName>标点问题</groupName>
      <ability>L2_Punc</ability>
      <abilityName>标点符号检查</abilityName>
      <candidateList/>
      <explain/>
      <paraID>4B346E89</paraID>
      <start>0</start>
      <end>1</end>
      <status>unmodified</status>
      <modifiedWord/>
      <trackRevisions>false</trackRevisions>
    </reviewItem>
    <reviewItem>
      <errorID>311923c2-a2bf-4741-a654-5a5b2a103278</errorID>
      <errorWord>*</errorWord>
      <group>L1_Punc</group>
      <groupName>标点问题</groupName>
      <ability>L2_Punc</ability>
      <abilityName>标点符号检查</abilityName>
      <candidateList/>
      <explain/>
      <paraID>119F8272</paraID>
      <start>0</start>
      <end>1</end>
      <status>ignored</status>
      <modifiedWord/>
      <trackRevisions>false</trackRevisions>
    </reviewItem>
    <reviewItem>
      <errorID>887d83fe-d11b-4c60-9404-710000b36706</errorID>
      <errorWord>五年</errorWord>
      <group>L1_Word</group>
      <groupName>字词问题</groupName>
      <ability>L2_Typo</ability>
      <abilityName>字词错误</abilityName>
      <candidateList>
        <item>年</item>
      </candidateList>
      <explain/>
      <paraID>7F146A08</paraID>
      <start>60</start>
      <end>62</end>
      <status>unmodified</status>
      <modifiedWord/>
      <trackRevisions>false</trackRevisions>
    </reviewItem>
    <reviewItem>
      <errorID>8150d6ef-3bd0-432f-a199-5ff76b34c543</errorID>
      <errorWord>，</errorWord>
      <group>L1_Word</group>
      <groupName>字词问题</groupName>
      <ability>L2_Typo</ability>
      <abilityName>字词错误</abilityName>
      <candidateList>
        <item>，以</item>
      </candidateList>
      <explain/>
      <paraID>77704EFC</paraID>
      <start>21</start>
      <end>22</end>
      <status>unmodified</status>
      <modifiedWord/>
      <trackRevisions>false</trackRevisions>
    </reviewItem>
    <reviewItem>
      <errorID>39b0b0ab-1e07-4a91-bba5-cf9a7f3dbd46</errorID>
      <errorWord>、</errorWord>
      <group>L1_Word</group>
      <groupName>字词问题</groupName>
      <ability>L2_Typo</ability>
      <abilityName>字词错误</abilityName>
      <candidateList>
        <item>、各</item>
      </candidateList>
      <explain/>
      <paraID>291D3C95</paraID>
      <start>34</start>
      <end>35</end>
      <status>unmodified</status>
      <modifiedWord/>
      <trackRevisions>false</trackRevisions>
    </reviewItem>
    <reviewItem>
      <errorID>262faac4-d548-452d-98c3-722d82a2aec1</errorID>
      <errorWord>一岗双责</errorWord>
      <group>L1_Political</group>
      <groupName>政治性问题</groupName>
      <ability>L2_Keyword</ability>
      <abilityName>固定表述</abilityName>
      <candidateList>
        <item>‘一岗双责’</item>
      </candidateList>
      <explain>注意检查当前固定表述标点是否使用规范。</explain>
      <paraID> 8A7DB32</paraID>
      <start>12</start>
      <end>16</end>
      <status>unmodified</status>
      <modifiedWord/>
      <trackRevisions>false</trackRevisions>
    </reviewItem>
    <reviewItem>
      <errorID>1d8a44fb-e799-49c7-916b-35311eeaede5</errorID>
      <errorWord>-</errorWord>
      <group>L1_Format</group>
      <groupName>格式问题</groupName>
      <ability>L2_HalfPunc</ability>
      <abilityName>全半角检查</abilityName>
      <candidateList>
        <item>－</item>
      </candidateList>
      <explain>文本全半角错误。</explain>
      <paraID>20680CE0</paraID>
      <start>42</start>
      <end>43</end>
      <status>unmodified</status>
      <modifiedWord/>
      <trackRevisions>false</trackRevisions>
    </reviewItem>
    <reviewItem>
      <errorID>02f7236c-50c2-43a2-af87-b735e1f1c5ed</errorID>
      <errorWord>-</errorWord>
      <group>L1_Format</group>
      <groupName>格式问题</groupName>
      <ability>L2_HalfPunc</ability>
      <abilityName>全半角检查</abilityName>
      <candidateList>
        <item>－</item>
      </candidateList>
      <explain>文本全半角错误。</explain>
      <paraID>20680CE0</paraID>
      <start>45</start>
      <end>46</end>
      <status>unmodified</status>
      <modifiedWord/>
      <trackRevisions>false</trackRevisions>
    </reviewItem>
    <reviewItem>
      <errorID>2a1bc0ae-2115-47f9-b383-6b93ba94c9aa</errorID>
      <errorWord>*</errorWord>
      <group>L1_Punc</group>
      <groupName>标点问题</groupName>
      <ability>L2_Punc</ability>
      <abilityName>标点符号检查</abilityName>
      <candidateList/>
      <explain/>
      <paraID>4A9286AF</paraID>
      <start>0</start>
      <end>1</end>
      <status>unmodified</status>
      <modifiedWord/>
      <trackRevisions>false</trackRevisions>
    </reviewItem>
    <reviewItem>
      <errorID>ed865b49-b993-4451-a2ed-9d5a1b8a8f3c</errorID>
      <errorWord>*</errorWord>
      <group>L1_Punc</group>
      <groupName>标点问题</groupName>
      <ability>L2_Punc</ability>
      <abilityName>标点符号检查</abilityName>
      <candidateList/>
      <explain/>
      <paraID>1CB4D4B4</paraID>
      <start>0</start>
      <end>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cbf73c-81b6-48f3-bd46-a8baf0831b22}">
  <ds:schemaRefs/>
</ds:datastoreItem>
</file>

<file path=docProps/app.xml><?xml version="1.0" encoding="utf-8"?>
<Properties xmlns="http://schemas.openxmlformats.org/officeDocument/2006/extended-properties" xmlns:vt="http://schemas.openxmlformats.org/officeDocument/2006/docPropsVTypes">
  <Template>Normal</Template>
  <Pages>21</Pages>
  <Words>2602</Words>
  <Characters>2651</Characters>
  <Lines>227</Lines>
  <Paragraphs>63</Paragraphs>
  <TotalTime>45</TotalTime>
  <ScaleCrop>false</ScaleCrop>
  <LinksUpToDate>false</LinksUpToDate>
  <CharactersWithSpaces>2651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2025-07-26T15:08:00Z</dcterms:created>
  <dc:creator>Administrator</dc:creator>
  <cp:lastModifiedBy>黄李华</cp:lastModifiedBy>
  <cp:lastPrinted>2026-10-09T08:10:00Z</cp:lastPrinted>
  <dcterms:modified xsi:type="dcterms:W3CDTF">2026-10-09T09:42:07Z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eyJoZGlkIjoiNmRjYWJjYTIxY2FkN2U0OTEyZTAyOTE3NDU4MmUzZjIiLCJ1c2VySWQiOiIxNzQyMTkxNzAyIn0=</vt:lpwstr>
  </property>
  <property fmtid="{D5CDD505-2E9C-101B-9397-08002B2CF9AE}" pid="4" name="ICV">
    <vt:lpwstr>70702109E8664DC98F621AB5EBE8A4EF_13</vt:lpwstr>
  </property>
</Properties>
</file>