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60" w:lineRule="exact"/>
        <w:ind w:firstLine="0" w:firstLineChars="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附件2</w:t>
      </w:r>
    </w:p>
    <w:p>
      <w:pPr>
        <w:pStyle w:val="2"/>
        <w:spacing w:line="560" w:lineRule="exact"/>
        <w:ind w:firstLine="0" w:firstLineChars="0"/>
        <w:rPr>
          <w:rFonts w:ascii="方正黑体_GBK" w:hAnsi="方正黑体_GBK" w:eastAsia="方正黑体_GBK" w:cs="方正黑体_GBK"/>
          <w:sz w:val="32"/>
          <w:szCs w:val="32"/>
        </w:rPr>
      </w:pPr>
    </w:p>
    <w:p>
      <w:pPr>
        <w:spacing w:line="560" w:lineRule="exact"/>
        <w:jc w:val="center"/>
        <w:outlineLvl w:val="1"/>
        <w:rPr>
          <w:rFonts w:ascii="方正小标宋简体" w:hAnsi="仿宋" w:eastAsia="方正小标宋简体" w:cs="仿宋"/>
          <w:spacing w:val="-10"/>
          <w:sz w:val="44"/>
          <w:szCs w:val="44"/>
        </w:rPr>
      </w:pPr>
      <w:r>
        <w:rPr>
          <w:rFonts w:hint="eastAsia" w:ascii="方正小标宋简体" w:hAnsi="仿宋" w:eastAsia="方正小标宋简体" w:cs="仿宋"/>
          <w:spacing w:val="-10"/>
          <w:sz w:val="44"/>
          <w:szCs w:val="44"/>
        </w:rPr>
        <w:t>江苏省中等职业教育优质专业遴选条件</w:t>
      </w:r>
    </w:p>
    <w:p>
      <w:pPr>
        <w:spacing w:line="560" w:lineRule="exact"/>
        <w:jc w:val="center"/>
        <w:outlineLvl w:val="1"/>
        <w:rPr>
          <w:rFonts w:ascii="方正小标宋简体" w:hAnsi="仿宋" w:eastAsia="方正小标宋简体" w:cs="仿宋"/>
          <w:spacing w:val="-10"/>
          <w:sz w:val="36"/>
          <w:szCs w:val="36"/>
        </w:rPr>
      </w:pPr>
    </w:p>
    <w:tbl>
      <w:tblPr>
        <w:tblStyle w:val="4"/>
        <w:tblW w:w="87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5"/>
        <w:gridCol w:w="1387"/>
        <w:gridCol w:w="6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 w:cs="仿宋"/>
                <w:bCs/>
                <w:sz w:val="24"/>
              </w:rPr>
            </w:pPr>
            <w:r>
              <w:rPr>
                <w:rFonts w:hint="eastAsia" w:ascii="黑体" w:hAnsi="黑体" w:eastAsia="黑体" w:cs="仿宋"/>
                <w:bCs/>
                <w:sz w:val="24"/>
              </w:rPr>
              <w:t>一级指标</w:t>
            </w: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 w:cs="仿宋"/>
                <w:bCs/>
                <w:sz w:val="24"/>
              </w:rPr>
            </w:pPr>
            <w:r>
              <w:rPr>
                <w:rFonts w:hint="eastAsia" w:ascii="黑体" w:hAnsi="黑体" w:eastAsia="黑体" w:cs="仿宋"/>
                <w:bCs/>
                <w:sz w:val="24"/>
              </w:rPr>
              <w:t>二级指标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hAnsi="黑体" w:eastAsia="黑体" w:cs="仿宋"/>
                <w:bCs/>
                <w:sz w:val="24"/>
              </w:rPr>
            </w:pPr>
            <w:r>
              <w:rPr>
                <w:rFonts w:hint="eastAsia" w:ascii="黑体" w:hAnsi="黑体" w:eastAsia="黑体" w:cs="仿宋"/>
                <w:bCs/>
                <w:sz w:val="24"/>
              </w:rPr>
              <w:t>指标说明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6"/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黑体" w:hAnsi="黑体" w:eastAsia="黑体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基本</w:t>
            </w:r>
          </w:p>
          <w:p>
            <w:pPr>
              <w:pStyle w:val="6"/>
              <w:adjustRightInd w:val="0"/>
              <w:snapToGrid w:val="0"/>
              <w:spacing w:line="276" w:lineRule="auto"/>
              <w:ind w:firstLine="0" w:firstLineChars="0"/>
              <w:jc w:val="center"/>
              <w:rPr>
                <w:rFonts w:ascii="黑体" w:hAnsi="黑体" w:eastAsia="黑体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定位</w:t>
            </w: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1.1</w:t>
            </w:r>
            <w:r>
              <w:rPr>
                <w:rFonts w:hint="eastAsia" w:ascii="Times New Roman" w:hAnsi="Times New Roman" w:eastAsia="楷体" w:cs="Times New Roman"/>
                <w:szCs w:val="21"/>
              </w:rPr>
              <w:t>基本定位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1.专业定位准确，对接区域主导产业、支柱产业、战略性新兴产业，服务产业转型升级和区域经济发展需求。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2.专业特色鲜明，与学校办学面向、学校发展规划高度吻合。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3.专业人才培养目标定位准确。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2" w:hRule="atLeast"/>
          <w:jc w:val="center"/>
        </w:trPr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黑体" w:hAnsi="黑体" w:eastAsia="黑体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建设</w:t>
            </w:r>
          </w:p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基础</w:t>
            </w: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2.1团队水平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专业带头人具有本专业本科以上学历，副高以上职称，从事本专业教学6年以上；具有技师以上职业资格或非教师系列本专业中级以上技术职称，熟悉行业产业和本专业发展现状与趋势，每学年参加行业企业活动4次以上；获市教学成果奖一等奖以上奖项，或近三年获省技能大赛、教学能力比赛二等奖以上、主持或参与市级以上课题研究并结题；是市级以上专业带头人、教学名师、特级教师、领军人才、教学团队或名师工作室领衔人、相关行业省职业教育行指委（教指委）成员等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专业具备专兼结合的“双师型”教学团队；团队成员中专任专业教师数与本专业在籍学生数比达到1:27以上；团队成员均为本科以上学历，研究生学历（或硕士以上学位）30%以上；高级职称30%以上；其中专任专业教师中“双师型”教师比例70%以上；团队成员中行业、企业兼职教师占专业教师比例20%左右,均具有中级以上技术职称或技师以上职业资格证书，30%以上具有高级职称或高级技师职业资格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2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2.2基地运行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校内外实践教学基地设施先进、管理规范，基地建设与实践教学项目设计相适应、相配套，其中校内实训基地生均仪器设备值：工科和医药类专业10000元以上，其它类专业8000元以上；实训场所建成数字化教学环境，实现信息点全覆盖，百兆带宽到桌面，计算机数量满足实训教学和管理需要。有与专业教学配套的信息化实训资源平台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融合企业管理理念，设立专门管理机构，人员配置齐全，管理制度健全；利用信息技术，实现实验（训）资产管理、计划安排、数据采集、考核评价信息化管理；实验实训开出率100%，专业各实验（训）室平均利用课时超过500课时/学年（含社会培训、技术服务）；实验实训室共享率达到60%（共享率计算办法：各实验（训）室平均服务专业数/本</w:t>
            </w:r>
            <w:bookmarkStart w:id="0" w:name="_GoBack"/>
            <w:bookmarkEnd w:id="0"/>
            <w:r>
              <w:rPr>
                <w:rFonts w:hint="eastAsia" w:ascii="仿宋_GB2312" w:eastAsia="仿宋_GB2312"/>
                <w:szCs w:val="21"/>
              </w:rPr>
              <w:t>专业数）。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2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2.3学生质量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1.生源质量好，在籍学生规模保持相对稳定。连续招生6年以上。 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2.毕业生95%以上取得本专业相应的中级工以上技能等级证书或“1+X”初级证书，20%以上获得本专业相应的技能等级证书或70%以上获得相关行业执业资格证书（特殊专业除外）；毕业生具有较强的计算机应用能力、语言表达能力、社会交往能力，相关应用水平等级考试取证率70%以上；近三年本专业学生在技能大赛、创新创业大赛中获得省级三等奖以上奖项。 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.建立毕业生就业跟踪调查机制，学生对口就业率、用人单位满意度高、学生就业满意度高，毕业生就业率95%以上，对口就业率80%以上，本地就业率75%以上，专业满意度90%，用人单位满意度90%以上；开展职业生涯指导和创业教育，有本专业学生创业实践基地和创业项目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2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2.4影响力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1.专业建设行业优势明显，与产业对接紧密，有较强社会影响力，有省级及以上专业建设与教学改革荣誉、奖励。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2.专业建设特色鲜明，充分体现信息化、国际化、个性化和多样化，形成原创性范式和经验，有不少于1个建设成果。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  <w:jc w:val="center"/>
        </w:trPr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黑体" w:hAnsi="黑体" w:eastAsia="黑体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建设</w:t>
            </w:r>
          </w:p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内容</w:t>
            </w: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3.1人才培养模式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1.加强党的全面领导，落实立德树人根本任务，推进“三全育人”，构建德智体美劳全面发展的人才培养体系。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2.深化产教融合、校企合作，以专业为单元，开展政府引导、行业参与、社会支持、企业和职业学校双主体育人的中国特色学徒制办学实践。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3.严格执行专业类人才培养方案，吸收行业企业发展的新知识、新技术、新工艺、新规范，校企合作滚动修订实施性人才培养方案；规范执行中职“2.5+0.5”、五年制高职“4.5+0.5”学制要求。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4.增强职业教育适应性，推进岗课赛证综合育人，积极参与“1+X”证书试点。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3.2课程体系与教学资源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  <w:highlight w:val="yellow"/>
              </w:rPr>
            </w:pPr>
            <w:r>
              <w:rPr>
                <w:rFonts w:hint="eastAsia" w:ascii="仿宋_GB2312" w:eastAsia="仿宋_GB2312"/>
                <w:szCs w:val="21"/>
              </w:rPr>
              <w:t>1.开展职业岗位调研分析，形成专业岗位能力分析报告，专业课程设置和教学要求充分运用调研分析结果。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2.开齐开足开好思政课程，课程思政与思政课程同向同行，至少有1门课程系统化设计课程思政。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  <w:highlight w:val="yellow"/>
              </w:rPr>
            </w:pPr>
            <w:r>
              <w:rPr>
                <w:rFonts w:hint="eastAsia" w:ascii="仿宋_GB2312" w:eastAsia="仿宋_GB2312"/>
                <w:szCs w:val="21"/>
              </w:rPr>
              <w:t>3.校企共同设计专业课程体系，具备完善的专业课程标准（教学要求）。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4.线上线下课程资源丰富，有专业课程资源库或在线课程，资源共享率高。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1" w:hRule="atLeast"/>
          <w:jc w:val="center"/>
        </w:trPr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3.3教材与教法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1.严格执行教材选用制度，公共基础课统一使用规定教材，专业课、实践课按要求选用教材。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2.教材建设规划合理，校企合作开发新形态一体化教材、工作手册式教材、活页式教材等，开发新型教材不少于1套。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3.深化“课堂革命”，校企共同推进新型教学方式、教学方法和教学模式改革，课堂教学学生参与度高、学生获得感强。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4.信息技术深度融入教育教学，适应“互联网+职业教育”新要求，建有本专业适用的数字化教学平台。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3.4教学评价与改进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以学习者的职业道德、技术技能水平和就业质量为核心，系统制定专业人才培养质量评价标准，改进结果评价、强化过程评价、探索增值评价、健全综合评价，全面准确、客观公正评价学生的素质、知识、技能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2.实现质量评价方式多元化，广泛吸收学生、家长、行业企业、研究机构和其他社会组织参与质量评价，积极探索第三方参与的教学质量评价机制。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3.扎实推进教考分离，定期开展教学过程监测、评价与反馈，引导教师持续优化教学组织方式、改进教学方法，提高教学效率。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4.定期汇总行业企业和毕业生对人才培养工作的意见建议，并反馈指导人才培养工作。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  <w:jc w:val="center"/>
        </w:trPr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3.5教学团队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1.团队建设规划科学、目标明确、制度规范、措施得力，定期开展活动，富有成效。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2.实施教师能力提升专项培训，高质量落实教师定期到企业实践的制度，实现5年一周期全员轮训、专业教师企业实践平均每年一个月以上。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3.行业企业成员积极参与课程改革、课堂教学，有明显成效。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2" w:hRule="atLeast"/>
          <w:jc w:val="center"/>
        </w:trPr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3.6实训基地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1.积极推动实训基地升级改造，专业相关实训基地年均投入工科和医药类专业120万元以上，其它类专业80万元以上。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2.校企协同开展实训基地虚拟仿真建设，打造成集教学、实训、培训、科研、竞赛、科普等功能于一体的综合性实训基地。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3.积极调整校外实训基地，紧密对接人才培养方案。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3" w:hRule="atLeast"/>
          <w:jc w:val="center"/>
        </w:trPr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3.7服务发展能力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  <w:highlight w:val="magenta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1.面向服务领域开展技术开发、技术转让、技术咨询与技术服务，校企协同成果转化运行机制完善，科技成果转化与创新创业的衔接成果显著。 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2.开展各类职业技能培训，每年承担专业相关领域的社会培训人次达到专业在籍学生数。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3.响应“一带一路”倡议，积极参与开发国际通用专业标准和教学资源，开展国际职业教育服务。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黑体" w:hAnsi="黑体" w:eastAsia="黑体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保障</w:t>
            </w:r>
          </w:p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措施</w:t>
            </w: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4.1体制</w:t>
            </w:r>
            <w:r>
              <w:rPr>
                <w:rFonts w:ascii="Times New Roman" w:hAnsi="Times New Roman" w:eastAsia="楷体" w:cs="Times New Roman"/>
                <w:szCs w:val="21"/>
              </w:rPr>
              <w:t>机制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1.建立专业建设的相关组织，制定专业管理运行制度，统筹协调专业管理。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2.专业与产业的契合度高，建立对接产业、动态调整、自我完善机制。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4.</w:t>
            </w:r>
            <w:r>
              <w:rPr>
                <w:rFonts w:ascii="Times New Roman" w:hAnsi="Times New Roman" w:eastAsia="楷体" w:cs="Times New Roman"/>
                <w:szCs w:val="21"/>
              </w:rPr>
              <w:t>2</w:t>
            </w:r>
            <w:r>
              <w:rPr>
                <w:rFonts w:hint="eastAsia" w:ascii="Times New Roman" w:hAnsi="Times New Roman" w:eastAsia="楷体" w:cs="Times New Roman"/>
                <w:szCs w:val="21"/>
              </w:rPr>
              <w:t>经费保障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1.年度预算中设置专项经费保障专业建设，经费使用规范。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2.建设经费筹措渠道广泛，政行校企积极投入资金或设备。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  <w:jc w:val="center"/>
        </w:trPr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szCs w:val="21"/>
              </w:rPr>
              <w:t>4.</w:t>
            </w:r>
            <w:r>
              <w:rPr>
                <w:rFonts w:ascii="Times New Roman" w:hAnsi="Times New Roman" w:eastAsia="楷体" w:cs="Times New Roman"/>
                <w:szCs w:val="21"/>
              </w:rPr>
              <w:t>3</w:t>
            </w:r>
            <w:r>
              <w:rPr>
                <w:rFonts w:hint="eastAsia" w:ascii="Times New Roman" w:hAnsi="Times New Roman" w:eastAsia="楷体" w:cs="Times New Roman"/>
                <w:szCs w:val="21"/>
              </w:rPr>
              <w:t>质量保证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1.建立专业教学诊断与改进机制，实现数据实时采集、问题及时诊断、措施改进得力，成效明显。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2.应用数字化管理与服务平台，信息技术和智能技术深度融入专业建设管理全过程，实现人员管理、资产管理、计划安排、数据采集、考核评价等信息化管理。</w:t>
            </w:r>
          </w:p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3.严格执行学生、学籍、学分管理制度，开展各类学习成果的认定、积累和转换。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  <w:jc w:val="center"/>
        </w:trPr>
        <w:tc>
          <w:tcPr>
            <w:tcW w:w="1225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黑体" w:hAnsi="黑体" w:eastAsia="黑体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预期</w:t>
            </w:r>
          </w:p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黑体" w:hAnsi="黑体" w:eastAsia="黑体" w:cs="仿宋"/>
                <w:szCs w:val="21"/>
              </w:rPr>
              <w:t>成效</w:t>
            </w: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5</w:t>
            </w:r>
            <w:r>
              <w:rPr>
                <w:rFonts w:hint="eastAsia" w:ascii="Times New Roman" w:hAnsi="Times New Roman" w:eastAsia="楷体" w:cs="Times New Roman"/>
                <w:szCs w:val="21"/>
              </w:rPr>
              <w:t>.1预期成果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建设成果体现在服务产业、学生发展、团队发展、事业发展等方面，具有系统性、完整性、创新性，可定义、可考核、可测量。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  <w:jc w:val="center"/>
        </w:trPr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5</w:t>
            </w:r>
            <w:r>
              <w:rPr>
                <w:rFonts w:hint="eastAsia" w:ascii="Times New Roman" w:hAnsi="Times New Roman" w:eastAsia="楷体" w:cs="Times New Roman"/>
                <w:szCs w:val="21"/>
              </w:rPr>
              <w:t>.2标志性成果</w:t>
            </w:r>
          </w:p>
        </w:tc>
        <w:tc>
          <w:tcPr>
            <w:tcW w:w="6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420" w:firstLineChars="200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标志性成果体现在教学改革、人才培养、产教融合、育训结合等方面，具有较强的代表性和借鉴意义，在相关专业和院校间、行业间开放共享。</w:t>
            </w:r>
          </w:p>
        </w:tc>
      </w:tr>
    </w:tbl>
    <w:p>
      <w:pPr>
        <w:jc w:val="left"/>
        <w:outlineLvl w:val="0"/>
        <w:rPr>
          <w:rFonts w:ascii="仿宋_GB2312" w:eastAsia="仿宋_GB2312"/>
          <w:color w:val="FF0000"/>
          <w:szCs w:val="21"/>
        </w:rPr>
      </w:pPr>
    </w:p>
    <w:p>
      <w:pPr>
        <w:pStyle w:val="2"/>
        <w:spacing w:line="560" w:lineRule="exact"/>
        <w:ind w:firstLine="880"/>
        <w:rPr>
          <w:rFonts w:ascii="方正小标宋_GBK" w:hAnsi="黑体" w:eastAsia="方正小标宋_GBK" w:cs="仿宋_GB2312"/>
          <w:color w:val="FF0000"/>
          <w:sz w:val="44"/>
          <w:szCs w:val="44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A3F158E-ACFA-4A29-8C4F-08E4D7B436B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25CAF911-41A7-40B9-A485-54A88C1B3454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17290083-D995-47BE-B348-7A853E0019B8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060C0E7A-9755-48BB-8EAD-BDE80EDB2D5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24C65CE8-6B7C-4666-A791-F15F64D2FF1B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43B48C7A-5243-4303-9193-D8FF1654D2C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7" w:fontKey="{1C026B44-7CCD-42C4-8EE4-15EDEA482CDA}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8" w:fontKey="{EFC3F2E6-C623-4E20-9D68-B9B3D1E4E2A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72538882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4ZjI0ODVmNTE3ODdkMGM5NjAyOTMwYzljMmIzNzUifQ=="/>
  </w:docVars>
  <w:rsids>
    <w:rsidRoot w:val="00982508"/>
    <w:rsid w:val="007F1527"/>
    <w:rsid w:val="008F7AE5"/>
    <w:rsid w:val="00982508"/>
    <w:rsid w:val="00D951D6"/>
    <w:rsid w:val="01487061"/>
    <w:rsid w:val="01E21263"/>
    <w:rsid w:val="03F31506"/>
    <w:rsid w:val="05017C52"/>
    <w:rsid w:val="059E36F3"/>
    <w:rsid w:val="060F2843"/>
    <w:rsid w:val="0D0B3D64"/>
    <w:rsid w:val="13C702B9"/>
    <w:rsid w:val="1494463F"/>
    <w:rsid w:val="1CDB6B83"/>
    <w:rsid w:val="22D64075"/>
    <w:rsid w:val="243D44C5"/>
    <w:rsid w:val="26695200"/>
    <w:rsid w:val="26837481"/>
    <w:rsid w:val="27BF157B"/>
    <w:rsid w:val="2C2E6CCF"/>
    <w:rsid w:val="2E530C6F"/>
    <w:rsid w:val="2F884949"/>
    <w:rsid w:val="309B06AC"/>
    <w:rsid w:val="30DA11D4"/>
    <w:rsid w:val="36064819"/>
    <w:rsid w:val="36E508D2"/>
    <w:rsid w:val="37403D5B"/>
    <w:rsid w:val="379245B6"/>
    <w:rsid w:val="379C5435"/>
    <w:rsid w:val="38156F95"/>
    <w:rsid w:val="385E26EA"/>
    <w:rsid w:val="3AEF1114"/>
    <w:rsid w:val="3B5152E8"/>
    <w:rsid w:val="414C3A28"/>
    <w:rsid w:val="42784CF1"/>
    <w:rsid w:val="43FD36FF"/>
    <w:rsid w:val="45886FF9"/>
    <w:rsid w:val="47064679"/>
    <w:rsid w:val="4820176A"/>
    <w:rsid w:val="48AA54D8"/>
    <w:rsid w:val="49090450"/>
    <w:rsid w:val="4A2F3EE7"/>
    <w:rsid w:val="4B241572"/>
    <w:rsid w:val="4DB0533F"/>
    <w:rsid w:val="4EC54E1A"/>
    <w:rsid w:val="51167BAE"/>
    <w:rsid w:val="5386726D"/>
    <w:rsid w:val="58564D34"/>
    <w:rsid w:val="5DD5494D"/>
    <w:rsid w:val="5E8819C0"/>
    <w:rsid w:val="5F93686E"/>
    <w:rsid w:val="5FBE38EB"/>
    <w:rsid w:val="6120177E"/>
    <w:rsid w:val="64722EF6"/>
    <w:rsid w:val="6817628E"/>
    <w:rsid w:val="68686AEA"/>
    <w:rsid w:val="6A8614A9"/>
    <w:rsid w:val="6F4F1C7A"/>
    <w:rsid w:val="6F9E1043"/>
    <w:rsid w:val="70223A22"/>
    <w:rsid w:val="727B566C"/>
    <w:rsid w:val="75CB06B8"/>
    <w:rsid w:val="77701517"/>
    <w:rsid w:val="77D45F4A"/>
    <w:rsid w:val="7CB974BC"/>
    <w:rsid w:val="7CE34539"/>
    <w:rsid w:val="7D621902"/>
    <w:rsid w:val="7F323556"/>
    <w:rsid w:val="7FF36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semiHidden/>
    <w:unhideWhenUsed/>
    <w:qFormat/>
    <w:uiPriority w:val="0"/>
    <w:pPr>
      <w:ind w:firstLine="200" w:firstLineChars="200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4</Pages>
  <Words>1578</Words>
  <Characters>1643</Characters>
  <Lines>74</Lines>
  <Paragraphs>18</Paragraphs>
  <TotalTime>20</TotalTime>
  <ScaleCrop>false</ScaleCrop>
  <LinksUpToDate>false</LinksUpToDate>
  <CharactersWithSpaces>3203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2022-09-28T01:55:00Z</dcterms:created>
  <dc:creator>80734</dc:creator>
  <cp:lastModifiedBy>恒原</cp:lastModifiedBy>
  <dcterms:modified xsi:type="dcterms:W3CDTF">2022-10-12T08:12:55Z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E30E9800836343CD9662DF4C47542B67</vt:lpwstr>
  </property>
</Properties>
</file>