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黑体" w:cs="Times New Roman"/>
          <w:sz w:val="32"/>
          <w:szCs w:val="32"/>
        </w:rPr>
      </w:pPr>
      <w:r>
        <w:rPr>
          <w:rFonts w:ascii="Times New Roman" w:hAnsi="Times New Roman" w:eastAsia="黑体" w:cs="Times New Roman"/>
          <w:sz w:val="32"/>
          <w:szCs w:val="32"/>
        </w:rPr>
        <w:t>附件2</w:t>
      </w:r>
    </w:p>
    <w:p>
      <w:pPr>
        <w:tabs>
          <w:tab w:val="left" w:pos="8364"/>
        </w:tabs>
        <w:spacing w:line="560" w:lineRule="exact"/>
        <w:rPr>
          <w:rFonts w:ascii="Times New Roman" w:hAnsi="Times New Roman" w:eastAsia="方正小标宋简体" w:cs="Times New Roman"/>
          <w:b/>
          <w:sz w:val="44"/>
          <w:szCs w:val="44"/>
        </w:rPr>
      </w:pPr>
    </w:p>
    <w:p>
      <w:pPr>
        <w:tabs>
          <w:tab w:val="left" w:pos="8364"/>
        </w:tabs>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《江苏省生源地信用助学贷款工作意见》</w:t>
      </w:r>
    </w:p>
    <w:p>
      <w:pPr>
        <w:tabs>
          <w:tab w:val="left" w:pos="8364"/>
        </w:tabs>
        <w:spacing w:line="56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rPr>
        <w:t>的</w:t>
      </w:r>
      <w:r>
        <w:rPr>
          <w:rFonts w:ascii="Times New Roman" w:hAnsi="Times New Roman" w:eastAsia="方正小标宋简体" w:cs="Times New Roman"/>
          <w:sz w:val="44"/>
          <w:szCs w:val="44"/>
        </w:rPr>
        <w:t>修订说明</w:t>
      </w:r>
    </w:p>
    <w:p>
      <w:pPr>
        <w:tabs>
          <w:tab w:val="left" w:pos="8364"/>
        </w:tabs>
        <w:spacing w:line="560" w:lineRule="exact"/>
        <w:rPr>
          <w:rFonts w:ascii="Times New Roman" w:hAnsi="Times New Roman" w:eastAsia="方正小标宋简体" w:cs="Times New Roman"/>
          <w:b/>
          <w:sz w:val="44"/>
          <w:szCs w:val="44"/>
        </w:rPr>
      </w:pPr>
    </w:p>
    <w:p>
      <w:pPr>
        <w:tabs>
          <w:tab w:val="left" w:pos="8364"/>
        </w:tabs>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为进一步规范和加强我省生源地信用助学贷款工作，完善全省家庭经济困难学生资助政策体系，促进学生资助更好助力教育高质量发展和乡村振兴，省教育厅组织对《省政府办公厅转发省教育厅等部门关于江苏省生源地信用助学贷款工作意见的通知》（苏政办发〔2008〕79号）进行了修订。现将具体修订情况说明如下。</w:t>
      </w:r>
    </w:p>
    <w:p>
      <w:pPr>
        <w:spacing w:line="560" w:lineRule="exact"/>
        <w:ind w:firstLine="636"/>
        <w:rPr>
          <w:rFonts w:ascii="Times New Roman" w:hAnsi="Times New Roman" w:eastAsia="黑体" w:cs="Times New Roman"/>
          <w:sz w:val="32"/>
          <w:szCs w:val="32"/>
        </w:rPr>
      </w:pPr>
      <w:r>
        <w:rPr>
          <w:rFonts w:ascii="Times New Roman" w:hAnsi="Times New Roman" w:eastAsia="黑体" w:cs="Times New Roman"/>
          <w:sz w:val="32"/>
          <w:szCs w:val="32"/>
        </w:rPr>
        <w:t>一、文件修订背景</w:t>
      </w:r>
    </w:p>
    <w:p>
      <w:pPr>
        <w:autoSpaceDN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 w:cs="Times New Roman"/>
          <w:sz w:val="32"/>
          <w:szCs w:val="32"/>
        </w:rPr>
        <w:t>近年来，国家层面出台了多个关于助学贷款的政策文件，包括《教育部 财政部 中国人民银行 银保监会关于调整完善国家助学贷款有关政策的通知》（教财〔2020〕4号）、《财政部 教育部 中国人民银行 银保监会关于进一步完善国家助学贷款政策的通知》（财教〔2021〕164号）、《财政部 教育部关于印发生源地信用助学贷款风险补偿金管理办法的通知》（财教〔2022〕1号）等，对贷款的申请对象、额度、贷款期限、利率、宽限期、风险补偿金等内容进行了优化调整。目前我省指导文件是2008年《省政府办公厅转发省教育厅等部门关于江苏省生源地信用助学贷款工作意见的通知》（苏政办发〔2008〕79号），相关内容亟需更新。</w:t>
      </w:r>
    </w:p>
    <w:p>
      <w:pPr>
        <w:spacing w:line="560" w:lineRule="exact"/>
        <w:ind w:firstLine="636"/>
        <w:rPr>
          <w:rFonts w:ascii="Times New Roman" w:hAnsi="Times New Roman" w:eastAsia="黑体" w:cs="Times New Roman"/>
          <w:sz w:val="32"/>
          <w:szCs w:val="32"/>
        </w:rPr>
      </w:pPr>
      <w:r>
        <w:rPr>
          <w:rFonts w:ascii="Times New Roman" w:hAnsi="Times New Roman" w:eastAsia="黑体" w:cs="Times New Roman"/>
          <w:sz w:val="32"/>
          <w:szCs w:val="32"/>
        </w:rPr>
        <w:t>二、主要修订内容及修订依据</w:t>
      </w:r>
    </w:p>
    <w:p>
      <w:pPr>
        <w:autoSpaceDN w:val="0"/>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（一）更新生源地信用助学贷款经办银行。</w:t>
      </w:r>
      <w:r>
        <w:rPr>
          <w:rFonts w:ascii="Times New Roman" w:hAnsi="Times New Roman" w:eastAsia="仿宋" w:cs="Times New Roman"/>
          <w:sz w:val="32"/>
          <w:szCs w:val="32"/>
        </w:rPr>
        <w:t>增设国开行苏州市分行为生源地信用助学贷款经办银行。国家开发银行苏州市分行设立于2011年，与国家开发银行江苏省分行平级。国家开发银行苏州市分行自设立起负责苏州市各辖市区的生源地助学贷款工作，国家开发银行江苏省分行负责其它12个设区市所辖县市区的生源地信用助学贷款工作。</w:t>
      </w:r>
    </w:p>
    <w:p>
      <w:pPr>
        <w:autoSpaceDN w:val="0"/>
        <w:spacing w:line="560" w:lineRule="exact"/>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（二）更新生源地信用助学贷款申请对象。</w:t>
      </w:r>
      <w:r>
        <w:rPr>
          <w:rFonts w:ascii="Times New Roman" w:hAnsi="Times New Roman" w:eastAsia="仿宋" w:cs="Times New Roman"/>
          <w:sz w:val="32"/>
          <w:szCs w:val="32"/>
        </w:rPr>
        <w:t>增加科研院所、党校、行政学院、会计学院学生和预科生等作为生源地信用助学贷款申请对象，并规定学生本人入学前户籍与其共同借款人户籍原则上均在本县（市、区），且当年未获得其他国家助学贷款。修改依据主要是以下三个文件：</w:t>
      </w:r>
    </w:p>
    <w:p>
      <w:pPr>
        <w:autoSpaceDN w:val="0"/>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《财政部 教育部 银监会关于大力开展生源地信用助学贷款的通知》（财教〔2008〕196号）第三条，将学生条件更新为“……（3）已被根据国家有关规定批准设立、实施高等学历教育的全日制普通本科高校、高等职业学校和高等专科学校（含民办高校和独立学院）、正式录取，取得真实、合法、有效的录取通知书的新生或高校在读的本专科学生、研究生和第二学士学生。（4）学生本人入学前户籍、其父母（或其他法定监护人）户籍均在本县（市、区）。（5）家庭经济困难，所能获得的收入不足以支付在校期间完成学业所需基本费用”。</w:t>
      </w:r>
    </w:p>
    <w:p>
      <w:pPr>
        <w:autoSpaceDN w:val="0"/>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《财政部 教育部 中国人民银行 银监会关于进一步落实高等教育学生资助政策的通知》（财科教〔2017〕21号），第一条第三项更新了培养单位和学生类别。明确“推动国家助学贷款全覆盖。进一步拓展国家助学贷款业务覆盖范围，实现高校、科研院所、党校、行政学院、会计学院等培养单位全覆盖，实现全日制普通本专科生、研究生、预科生全覆盖”。</w:t>
      </w:r>
    </w:p>
    <w:p>
      <w:pPr>
        <w:autoSpaceDN w:val="0"/>
        <w:spacing w:line="560" w:lineRule="exact"/>
        <w:ind w:firstLine="640" w:firstLineChars="200"/>
        <w:rPr>
          <w:rFonts w:hint="eastAsia" w:ascii="Times New Roman" w:hAnsi="Times New Roman" w:eastAsia="仿宋" w:cs="Times New Roman"/>
          <w:sz w:val="32"/>
          <w:szCs w:val="32"/>
          <w:lang w:eastAsia="zh-CN"/>
        </w:rPr>
      </w:pPr>
      <w:r>
        <w:rPr>
          <w:rFonts w:ascii="Times New Roman" w:hAnsi="Times New Roman" w:eastAsia="仿宋" w:cs="Times New Roman"/>
          <w:sz w:val="32"/>
          <w:szCs w:val="32"/>
        </w:rPr>
        <w:t>《财政部 教育部 中国人民银行 银监会关于调整完成国家助学贷款相关政策措施的通知》（财教〔2014〕180号），第二条中明确“全日制普通本专科学生在同一学年内不得重复申请获得校园地国家助学贷款和生源地信用助学贷款，只能选择申请办理其中一种贷款”</w:t>
      </w:r>
      <w:r>
        <w:rPr>
          <w:rFonts w:hint="eastAsia" w:ascii="Times New Roman" w:hAnsi="Times New Roman" w:eastAsia="仿宋" w:cs="Times New Roman"/>
          <w:sz w:val="32"/>
          <w:szCs w:val="32"/>
          <w:lang w:eastAsia="zh-CN"/>
        </w:rPr>
        <w:t>。</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（三）更新生源地信用助学贷款额度。</w:t>
      </w:r>
      <w:r>
        <w:rPr>
          <w:rFonts w:ascii="Times New Roman" w:hAnsi="Times New Roman" w:eastAsia="仿宋" w:cs="Times New Roman"/>
          <w:sz w:val="32"/>
          <w:szCs w:val="32"/>
        </w:rPr>
        <w:t>提高助学贷款额度，依据是《财政部 教育部 中国人民银行 银保监会关于进一步完善国家助学贷款政策的通知》（财教〔2021〕164号），第一条明确“学生应根据实际情况申请国家助学贷款额度，全日制普通本专科学生(含第二学士学位、高职学生、预科生，下同)每人每年申请贷款额度由不超过8000元提高至不超过12000元;全日制研究生每人每年申请贷款额度由不超过12000元提高至不超过16000元。学生申请的国家助学贷款应优先用于支付在校期间学费和住宿费，超出部分可用于弥补日常生活费”。</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（四）更新生源地信用助学贷款的期限、还本宽限期等。</w:t>
      </w:r>
      <w:r>
        <w:rPr>
          <w:rFonts w:ascii="Times New Roman" w:hAnsi="Times New Roman" w:eastAsia="仿宋" w:cs="Times New Roman"/>
          <w:sz w:val="32"/>
          <w:szCs w:val="32"/>
        </w:rPr>
        <w:t>依据是《教育部 财政部 中国人民银行 银保监会关于调整完善国家助学贷款有关政策的通知》（教财〔2020〕4号），第一条明确“助学贷款还本宽限期从3年延长至5年。”第二条明确“助学贷款期限从学制加13年、最长不超过20年调整为学制加15年、最长不超过22年。”《财政部 教育部 银监会关于大力开展生源地信用助学贷款的通知》（财教〔2008〕196号），第四条第二项中“学制超过 4 年或继续攻读研究生学位、第二学士学位的，相应缩短学生毕业后的还贷期限</w:t>
      </w:r>
      <w:r>
        <w:rPr>
          <w:rFonts w:hint="eastAsia" w:ascii="Times New Roman" w:hAnsi="Times New Roman" w:eastAsia="仿宋" w:cs="Times New Roman"/>
          <w:sz w:val="32"/>
          <w:szCs w:val="32"/>
          <w:lang w:eastAsia="zh-CN"/>
        </w:rPr>
        <w:t>”</w:t>
      </w:r>
      <w:r>
        <w:rPr>
          <w:rFonts w:ascii="Times New Roman" w:hAnsi="Times New Roman" w:eastAsia="仿宋" w:cs="Times New Roman"/>
          <w:sz w:val="32"/>
          <w:szCs w:val="32"/>
        </w:rPr>
        <w:t>。</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（五）更新生源地信用助学贷款利率。</w:t>
      </w:r>
      <w:r>
        <w:rPr>
          <w:rFonts w:ascii="Times New Roman" w:hAnsi="Times New Roman" w:eastAsia="仿宋" w:cs="Times New Roman"/>
          <w:sz w:val="32"/>
          <w:szCs w:val="32"/>
        </w:rPr>
        <w:t>依据是《教育部 财政部 中国人民银行 银保监会关于调整完善国家助学贷款有关政策的通知》（教财〔2020〕4号），第一条明确“助学贷款还本宽限期从3年延长至5年”；第三条明确“2020年1月1日起,新签订合同的助学贷款利率按照同期同档次贷款市场报价利率(LPR)减30个基点执行</w:t>
      </w:r>
      <w:r>
        <w:rPr>
          <w:rFonts w:hint="eastAsia" w:ascii="Times New Roman" w:hAnsi="Times New Roman" w:eastAsia="仿宋" w:cs="Times New Roman"/>
          <w:sz w:val="32"/>
          <w:szCs w:val="32"/>
          <w:lang w:eastAsia="zh-CN"/>
        </w:rPr>
        <w:t>”</w:t>
      </w:r>
      <w:r>
        <w:rPr>
          <w:rFonts w:ascii="Times New Roman" w:hAnsi="Times New Roman" w:eastAsia="仿宋" w:cs="Times New Roman"/>
          <w:sz w:val="32"/>
          <w:szCs w:val="32"/>
        </w:rPr>
        <w:t>。</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（六）更新引用文件依据。</w:t>
      </w:r>
      <w:r>
        <w:rPr>
          <w:rFonts w:ascii="Times New Roman" w:hAnsi="Times New Roman" w:eastAsia="仿宋" w:cs="Times New Roman"/>
          <w:sz w:val="32"/>
          <w:szCs w:val="32"/>
        </w:rPr>
        <w:t>将“《省教育厅省财政厅关于市、县教育行政部门成立学生资助管理中心的紧急通知》（苏教财〔2007〕49号）”修改为“《国务院关于建立健全普通本科高校高等职业学校和中等职业学校家庭经济困难学生资助政策体系的意见》（国发〔2007〕13号）”。</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（七）更新生源地贷款总额限制。</w:t>
      </w:r>
      <w:r>
        <w:rPr>
          <w:rFonts w:ascii="Times New Roman" w:hAnsi="Times New Roman" w:eastAsia="仿宋" w:cs="Times New Roman"/>
          <w:sz w:val="32"/>
          <w:szCs w:val="32"/>
        </w:rPr>
        <w:t>从“控制高校借款总额”调整为“应贷尽贷”。依据是《财政部 教育部 中国人民银行 银监会关于调整完成国家助学贷款相关政策措施的通知》（财教〔2014〕180号），第三条中明确“各地区要继续大力推动国家助学贷款工作，满足本专科学生和研究生的贷款需求。财政部门要足额安排并及时拨付国家助学贷款贴息和风险补偿金资金。经办银行要根据贷款需求，足额安排并及时下达国家助学贷款信贷资金”。</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（八）更新关于县级教育行政部门和高校须承担相应审核责任的表述。</w:t>
      </w:r>
      <w:r>
        <w:rPr>
          <w:rFonts w:ascii="Times New Roman" w:hAnsi="Times New Roman" w:eastAsia="仿宋" w:cs="Times New Roman"/>
          <w:sz w:val="32"/>
          <w:szCs w:val="32"/>
        </w:rPr>
        <w:t>删去 “资助对象疏漏或不符合条件学生通过审核的，县级教育行政部门和高校须承担相应责任。”依据是《教育部关于取消一批证明事项的通知》（教政法函〔2019〕12号）第二条第一项明确“取消《教育部 财政部关于认真做好高等学校家庭经济困难学生认定工作的指导意见》（教财〔2007〕8号)以及《教育部办公厅关于进一步加强和规范高校家庭经济困难学生认定工作的通知》（教财厅〔2016〕6号）规定的，高校学生申请资助时需由家庭所在地乡、镇或街道民政部门对学生家庭经济情况予以证明的环节，改为申请人书面承诺”。</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（九）更新关于资金结算方式的规定。</w:t>
      </w:r>
      <w:r>
        <w:rPr>
          <w:rFonts w:ascii="Times New Roman" w:hAnsi="Times New Roman" w:eastAsia="仿宋" w:cs="Times New Roman"/>
          <w:sz w:val="32"/>
          <w:szCs w:val="32"/>
        </w:rPr>
        <w:t>将各级学生资助管理中心设立资金结算账户，调整为由省学生资助管理中心开立助学贷款专用账户，统一用于全省助学贷款发放、本息回收。依据是《财政部 教育部 银监会关于大力开展生源地信用助学贷款的通知》（财教〔2008〕196号），第六条第二段明确“国家开发银行各分行及有关金融机构的分支机构要按照本通知精神和国家助学贷款管理的有关规定，制定具体实施办法。如有需要，可通过委托代理方式由其他金融机构辅助结算管理”。</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（十）更新关于风险补偿金结余管理的规定。</w:t>
      </w:r>
      <w:r>
        <w:rPr>
          <w:rFonts w:ascii="Times New Roman" w:hAnsi="Times New Roman" w:eastAsia="仿宋" w:cs="Times New Roman"/>
          <w:sz w:val="32"/>
          <w:szCs w:val="32"/>
        </w:rPr>
        <w:t>修改“如实际损失高于风险补偿金，超出部分由市、县级财政和开行江苏省分行各承担一半。”依据是《财政部 教育部关于印发生源地信用助学贷款风险补偿金管理办法的通知》（财教〔2022〕1号），第三条明确“风险补偿金若低于生源地信用助学贷款损失，不足部分由国家开发银行承担；若超出生源地信用助学贷款损失，超出部分由国家开发银行按规定进行结余奖励”。</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（十一）更新关于风险补偿金计提比例的规定。</w:t>
      </w:r>
      <w:r>
        <w:rPr>
          <w:rFonts w:ascii="Times New Roman" w:hAnsi="Times New Roman" w:eastAsia="仿宋" w:cs="Times New Roman"/>
          <w:sz w:val="32"/>
          <w:szCs w:val="32"/>
        </w:rPr>
        <w:t>修改“生源地信用助学贷款风险补偿专项资金，按贷款发放额的15%一次性建立。”依据是《财政部 教育部人民银行银保监会关于进一步完善国家助学贷款政策的通知》（财教〔2021〕164号），第二条第一项明确“风险补偿金比例按当年贷款发生额的5%确定”。</w:t>
      </w:r>
      <w:bookmarkStart w:id="0" w:name="_GoBack"/>
      <w:bookmarkEnd w:id="0"/>
    </w:p>
    <w:p>
      <w:pPr>
        <w:spacing w:line="560" w:lineRule="exact"/>
        <w:ind w:firstLine="640" w:firstLineChars="200"/>
        <w:rPr>
          <w:rFonts w:ascii="Times New Roman" w:hAnsi="Times New Roman" w:eastAsia="仿宋" w:cs="Times New Roman"/>
          <w:sz w:val="32"/>
          <w:szCs w:val="32"/>
        </w:rPr>
      </w:pPr>
    </w:p>
    <w:sectPr>
      <w:footerReference r:id="rId3" w:type="default"/>
      <w:pgSz w:w="11906" w:h="16838"/>
      <w:pgMar w:top="2098"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yOWJlODNmYTBjMmEzZDM1NDJiYjE4MDkyOTU4NjAifQ=="/>
  </w:docVars>
  <w:rsids>
    <w:rsidRoot w:val="00BB1E53"/>
    <w:rsid w:val="00002E3E"/>
    <w:rsid w:val="0003274F"/>
    <w:rsid w:val="00054D6A"/>
    <w:rsid w:val="0008139C"/>
    <w:rsid w:val="00085538"/>
    <w:rsid w:val="00087415"/>
    <w:rsid w:val="000953FF"/>
    <w:rsid w:val="00097BC7"/>
    <w:rsid w:val="000A58B5"/>
    <w:rsid w:val="000C5B1E"/>
    <w:rsid w:val="000D1E5C"/>
    <w:rsid w:val="000E7AFC"/>
    <w:rsid w:val="00106BDD"/>
    <w:rsid w:val="00114D04"/>
    <w:rsid w:val="00116716"/>
    <w:rsid w:val="00136ADA"/>
    <w:rsid w:val="00147A32"/>
    <w:rsid w:val="00147CDA"/>
    <w:rsid w:val="001505F0"/>
    <w:rsid w:val="00152D7C"/>
    <w:rsid w:val="00163C55"/>
    <w:rsid w:val="001746E4"/>
    <w:rsid w:val="001937A3"/>
    <w:rsid w:val="001945D3"/>
    <w:rsid w:val="001A4088"/>
    <w:rsid w:val="001C5038"/>
    <w:rsid w:val="001F2096"/>
    <w:rsid w:val="00210524"/>
    <w:rsid w:val="0021529D"/>
    <w:rsid w:val="00220B2B"/>
    <w:rsid w:val="00220E76"/>
    <w:rsid w:val="00247208"/>
    <w:rsid w:val="00255DEF"/>
    <w:rsid w:val="00280735"/>
    <w:rsid w:val="002844A6"/>
    <w:rsid w:val="002A1FBD"/>
    <w:rsid w:val="002A7E13"/>
    <w:rsid w:val="002C5B2F"/>
    <w:rsid w:val="002D6B6D"/>
    <w:rsid w:val="002E49E4"/>
    <w:rsid w:val="00310186"/>
    <w:rsid w:val="0031070D"/>
    <w:rsid w:val="00316020"/>
    <w:rsid w:val="00346B36"/>
    <w:rsid w:val="003565F9"/>
    <w:rsid w:val="00365FE3"/>
    <w:rsid w:val="00392313"/>
    <w:rsid w:val="003A0F24"/>
    <w:rsid w:val="003B0C73"/>
    <w:rsid w:val="003B605E"/>
    <w:rsid w:val="003B7B2E"/>
    <w:rsid w:val="003B7F1E"/>
    <w:rsid w:val="003C23EF"/>
    <w:rsid w:val="003D4034"/>
    <w:rsid w:val="003D691B"/>
    <w:rsid w:val="003F2716"/>
    <w:rsid w:val="00416F02"/>
    <w:rsid w:val="00421D93"/>
    <w:rsid w:val="004223D0"/>
    <w:rsid w:val="004234A2"/>
    <w:rsid w:val="00425861"/>
    <w:rsid w:val="004273EC"/>
    <w:rsid w:val="00443F8D"/>
    <w:rsid w:val="0045114B"/>
    <w:rsid w:val="0048209B"/>
    <w:rsid w:val="00492810"/>
    <w:rsid w:val="004A0DC9"/>
    <w:rsid w:val="004A63B1"/>
    <w:rsid w:val="004A7321"/>
    <w:rsid w:val="004B5300"/>
    <w:rsid w:val="004C44A8"/>
    <w:rsid w:val="004C5E9B"/>
    <w:rsid w:val="004E08EF"/>
    <w:rsid w:val="004E0E2E"/>
    <w:rsid w:val="004F3E45"/>
    <w:rsid w:val="0050061A"/>
    <w:rsid w:val="00501544"/>
    <w:rsid w:val="005151AF"/>
    <w:rsid w:val="00551710"/>
    <w:rsid w:val="005636E8"/>
    <w:rsid w:val="00572A8F"/>
    <w:rsid w:val="00591144"/>
    <w:rsid w:val="005970D7"/>
    <w:rsid w:val="005A1638"/>
    <w:rsid w:val="005A284B"/>
    <w:rsid w:val="005A5955"/>
    <w:rsid w:val="005B4C32"/>
    <w:rsid w:val="005C253A"/>
    <w:rsid w:val="005D29FF"/>
    <w:rsid w:val="005D586B"/>
    <w:rsid w:val="005E52DC"/>
    <w:rsid w:val="00605BD3"/>
    <w:rsid w:val="006101A9"/>
    <w:rsid w:val="006237C7"/>
    <w:rsid w:val="006475AD"/>
    <w:rsid w:val="00673055"/>
    <w:rsid w:val="00681A8C"/>
    <w:rsid w:val="00687A46"/>
    <w:rsid w:val="00694E60"/>
    <w:rsid w:val="006A62C1"/>
    <w:rsid w:val="006B23A0"/>
    <w:rsid w:val="006B4B06"/>
    <w:rsid w:val="006C203F"/>
    <w:rsid w:val="006E4FA4"/>
    <w:rsid w:val="006E521E"/>
    <w:rsid w:val="007020BF"/>
    <w:rsid w:val="00724896"/>
    <w:rsid w:val="007333CB"/>
    <w:rsid w:val="00745A5F"/>
    <w:rsid w:val="007460F0"/>
    <w:rsid w:val="00746CA5"/>
    <w:rsid w:val="0075473F"/>
    <w:rsid w:val="0076773E"/>
    <w:rsid w:val="00777078"/>
    <w:rsid w:val="00787AF0"/>
    <w:rsid w:val="007B30BC"/>
    <w:rsid w:val="007B6212"/>
    <w:rsid w:val="007C2BEA"/>
    <w:rsid w:val="007D5AC0"/>
    <w:rsid w:val="007F2409"/>
    <w:rsid w:val="007F3084"/>
    <w:rsid w:val="007F7D7A"/>
    <w:rsid w:val="00800CBB"/>
    <w:rsid w:val="00806323"/>
    <w:rsid w:val="00806493"/>
    <w:rsid w:val="00810FF2"/>
    <w:rsid w:val="008174EF"/>
    <w:rsid w:val="00822483"/>
    <w:rsid w:val="00845AC6"/>
    <w:rsid w:val="00847A53"/>
    <w:rsid w:val="00863840"/>
    <w:rsid w:val="00863C33"/>
    <w:rsid w:val="008C7EF1"/>
    <w:rsid w:val="008D2BA1"/>
    <w:rsid w:val="008D333A"/>
    <w:rsid w:val="008E382B"/>
    <w:rsid w:val="008F470F"/>
    <w:rsid w:val="00924DD1"/>
    <w:rsid w:val="009368F0"/>
    <w:rsid w:val="00950480"/>
    <w:rsid w:val="0095343E"/>
    <w:rsid w:val="009609E1"/>
    <w:rsid w:val="00963827"/>
    <w:rsid w:val="00972554"/>
    <w:rsid w:val="0098399F"/>
    <w:rsid w:val="009859FD"/>
    <w:rsid w:val="0099036E"/>
    <w:rsid w:val="009910CD"/>
    <w:rsid w:val="009A231C"/>
    <w:rsid w:val="009A6AF3"/>
    <w:rsid w:val="009A6D29"/>
    <w:rsid w:val="009B774C"/>
    <w:rsid w:val="009E66D2"/>
    <w:rsid w:val="009F0757"/>
    <w:rsid w:val="00A06BED"/>
    <w:rsid w:val="00A13754"/>
    <w:rsid w:val="00A14767"/>
    <w:rsid w:val="00A17127"/>
    <w:rsid w:val="00A248EC"/>
    <w:rsid w:val="00A31528"/>
    <w:rsid w:val="00A60425"/>
    <w:rsid w:val="00A70781"/>
    <w:rsid w:val="00A71432"/>
    <w:rsid w:val="00A84C33"/>
    <w:rsid w:val="00A85153"/>
    <w:rsid w:val="00A86568"/>
    <w:rsid w:val="00A86C7E"/>
    <w:rsid w:val="00A87337"/>
    <w:rsid w:val="00A943FC"/>
    <w:rsid w:val="00AA1FC5"/>
    <w:rsid w:val="00AB2923"/>
    <w:rsid w:val="00AB3672"/>
    <w:rsid w:val="00AB3EEE"/>
    <w:rsid w:val="00AB48BB"/>
    <w:rsid w:val="00AC3529"/>
    <w:rsid w:val="00AD2C35"/>
    <w:rsid w:val="00AF4140"/>
    <w:rsid w:val="00AF4893"/>
    <w:rsid w:val="00B10838"/>
    <w:rsid w:val="00B145CD"/>
    <w:rsid w:val="00B32B8D"/>
    <w:rsid w:val="00B40EA1"/>
    <w:rsid w:val="00B82582"/>
    <w:rsid w:val="00B93FBF"/>
    <w:rsid w:val="00B97F85"/>
    <w:rsid w:val="00BB1E53"/>
    <w:rsid w:val="00BB2D07"/>
    <w:rsid w:val="00BC4DBA"/>
    <w:rsid w:val="00BD31E4"/>
    <w:rsid w:val="00BD5587"/>
    <w:rsid w:val="00BE0021"/>
    <w:rsid w:val="00BF3688"/>
    <w:rsid w:val="00BF3775"/>
    <w:rsid w:val="00BF3BDF"/>
    <w:rsid w:val="00C001FF"/>
    <w:rsid w:val="00C0288F"/>
    <w:rsid w:val="00C110B4"/>
    <w:rsid w:val="00C13191"/>
    <w:rsid w:val="00C31501"/>
    <w:rsid w:val="00C5589E"/>
    <w:rsid w:val="00C63440"/>
    <w:rsid w:val="00C67DE3"/>
    <w:rsid w:val="00C820BF"/>
    <w:rsid w:val="00CA488C"/>
    <w:rsid w:val="00CA4B4C"/>
    <w:rsid w:val="00CB1A33"/>
    <w:rsid w:val="00CB7851"/>
    <w:rsid w:val="00D0404E"/>
    <w:rsid w:val="00D12BE2"/>
    <w:rsid w:val="00D157BA"/>
    <w:rsid w:val="00D23516"/>
    <w:rsid w:val="00D31121"/>
    <w:rsid w:val="00D33473"/>
    <w:rsid w:val="00D41217"/>
    <w:rsid w:val="00D5646D"/>
    <w:rsid w:val="00D64AF9"/>
    <w:rsid w:val="00D944A4"/>
    <w:rsid w:val="00DA5ABD"/>
    <w:rsid w:val="00DC48BE"/>
    <w:rsid w:val="00DD2BCE"/>
    <w:rsid w:val="00DE0EDF"/>
    <w:rsid w:val="00DF29D3"/>
    <w:rsid w:val="00DF2F45"/>
    <w:rsid w:val="00E00CA3"/>
    <w:rsid w:val="00E22391"/>
    <w:rsid w:val="00E26BDD"/>
    <w:rsid w:val="00E34A48"/>
    <w:rsid w:val="00E40E06"/>
    <w:rsid w:val="00E5338F"/>
    <w:rsid w:val="00E54FA4"/>
    <w:rsid w:val="00E567A1"/>
    <w:rsid w:val="00E953BC"/>
    <w:rsid w:val="00EB04F4"/>
    <w:rsid w:val="00EB49AC"/>
    <w:rsid w:val="00EC307F"/>
    <w:rsid w:val="00ED1EBE"/>
    <w:rsid w:val="00EF60B4"/>
    <w:rsid w:val="00F22068"/>
    <w:rsid w:val="00F332F9"/>
    <w:rsid w:val="00F33705"/>
    <w:rsid w:val="00F33FBC"/>
    <w:rsid w:val="00F54547"/>
    <w:rsid w:val="00F5582E"/>
    <w:rsid w:val="00F6611D"/>
    <w:rsid w:val="00F76975"/>
    <w:rsid w:val="00F92CB4"/>
    <w:rsid w:val="00FA35E6"/>
    <w:rsid w:val="00FB6ECD"/>
    <w:rsid w:val="00FB6F36"/>
    <w:rsid w:val="00FB7F9C"/>
    <w:rsid w:val="00FD1F9B"/>
    <w:rsid w:val="00FD3156"/>
    <w:rsid w:val="00FD7AA1"/>
    <w:rsid w:val="00FF4F0B"/>
    <w:rsid w:val="00FF714E"/>
    <w:rsid w:val="00FF7385"/>
    <w:rsid w:val="01300D6B"/>
    <w:rsid w:val="01E5270E"/>
    <w:rsid w:val="04442995"/>
    <w:rsid w:val="05475ACB"/>
    <w:rsid w:val="0911258A"/>
    <w:rsid w:val="0999397B"/>
    <w:rsid w:val="0A7D4828"/>
    <w:rsid w:val="0B672E5E"/>
    <w:rsid w:val="0BFD1304"/>
    <w:rsid w:val="0D4570CF"/>
    <w:rsid w:val="109E4EEF"/>
    <w:rsid w:val="11677BA5"/>
    <w:rsid w:val="14C60491"/>
    <w:rsid w:val="16027F8B"/>
    <w:rsid w:val="172631D7"/>
    <w:rsid w:val="17497202"/>
    <w:rsid w:val="184D38FF"/>
    <w:rsid w:val="198F3232"/>
    <w:rsid w:val="19BA6215"/>
    <w:rsid w:val="1C805614"/>
    <w:rsid w:val="1C924443"/>
    <w:rsid w:val="1CBC3046"/>
    <w:rsid w:val="208C71D9"/>
    <w:rsid w:val="22B756D5"/>
    <w:rsid w:val="267C0054"/>
    <w:rsid w:val="2C4378FC"/>
    <w:rsid w:val="2ECC7974"/>
    <w:rsid w:val="2F950E14"/>
    <w:rsid w:val="363142DD"/>
    <w:rsid w:val="41135EAB"/>
    <w:rsid w:val="43A378E8"/>
    <w:rsid w:val="461736FC"/>
    <w:rsid w:val="46250CEB"/>
    <w:rsid w:val="49766C79"/>
    <w:rsid w:val="4BF22611"/>
    <w:rsid w:val="4CA27371"/>
    <w:rsid w:val="4D6A1E6A"/>
    <w:rsid w:val="541A29E9"/>
    <w:rsid w:val="552B4635"/>
    <w:rsid w:val="55FE7B5E"/>
    <w:rsid w:val="59C80FD7"/>
    <w:rsid w:val="5B9821F0"/>
    <w:rsid w:val="60E058B4"/>
    <w:rsid w:val="6180218E"/>
    <w:rsid w:val="61A3723C"/>
    <w:rsid w:val="6248622D"/>
    <w:rsid w:val="62516C98"/>
    <w:rsid w:val="65FA310B"/>
    <w:rsid w:val="6A234C85"/>
    <w:rsid w:val="6A466F69"/>
    <w:rsid w:val="6DBA54DD"/>
    <w:rsid w:val="6DFE0B35"/>
    <w:rsid w:val="6E671E2C"/>
    <w:rsid w:val="73334198"/>
    <w:rsid w:val="759926BF"/>
    <w:rsid w:val="76F81914"/>
    <w:rsid w:val="7D9409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paragraph" w:styleId="9">
    <w:name w:val="List Paragraph"/>
    <w:basedOn w:val="1"/>
    <w:qFormat/>
    <w:uiPriority w:val="34"/>
    <w:pPr>
      <w:ind w:firstLine="420" w:firstLineChars="200"/>
    </w:pPr>
  </w:style>
  <w:style w:type="character" w:customStyle="1" w:styleId="10">
    <w:name w:val="批注框文本 字符"/>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微软公司</Company>
  <Pages>6</Pages>
  <Words>472</Words>
  <Characters>2693</Characters>
  <Lines>22</Lines>
  <Paragraphs>6</Paragraphs>
  <TotalTime>0</TotalTime>
  <ScaleCrop>false</ScaleCrop>
  <LinksUpToDate>false</LinksUpToDate>
  <CharactersWithSpaces>3159</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2022-12-08T09:08:00Z</dcterms:created>
  <dc:creator>微软用户</dc:creator>
  <cp:lastModifiedBy>TQueen</cp:lastModifiedBy>
  <cp:lastPrinted>2023-03-06T12:25:00Z</cp:lastPrinted>
  <dcterms:modified xsi:type="dcterms:W3CDTF">2023-03-09T02:25:03Z</dcterms:modified>
  <cp:revision>220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4F1133CAB85A4A44841B6B9CCDAB5A1A</vt:lpwstr>
  </property>
</Properties>
</file>