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r>
        <w:rPr>
          <w:rFonts w:hint="eastAsia" w:ascii="黑体" w:hAnsi="黑体" w:eastAsia="黑体" w:cs="黑体"/>
          <w:sz w:val="36"/>
          <w:szCs w:val="36"/>
        </w:rPr>
        <w:t>首批中外合作办学高水平示范性建设工程培育点中期考核结果</w:t>
      </w:r>
    </w:p>
    <w:tbl>
      <w:tblPr>
        <w:tblStyle w:val="8"/>
        <w:tblW w:w="15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0626"/>
        <w:gridCol w:w="1559"/>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520" w:lineRule="exact"/>
              <w:jc w:val="center"/>
              <w:rPr>
                <w:rFonts w:ascii="黑体" w:hAnsi="黑体" w:eastAsia="黑体" w:cs="仿宋_GB2312"/>
                <w:bCs/>
                <w:sz w:val="30"/>
                <w:szCs w:val="30"/>
              </w:rPr>
            </w:pPr>
            <w:r>
              <w:rPr>
                <w:rFonts w:ascii="黑体" w:hAnsi="黑体" w:eastAsia="黑体" w:cs="仿宋_GB2312"/>
                <w:bCs/>
                <w:sz w:val="30"/>
                <w:szCs w:val="30"/>
              </w:rPr>
              <w:t>序号</w:t>
            </w:r>
          </w:p>
        </w:tc>
        <w:tc>
          <w:tcPr>
            <w:tcW w:w="10626" w:type="dxa"/>
          </w:tcPr>
          <w:p>
            <w:pPr>
              <w:spacing w:line="520" w:lineRule="exact"/>
              <w:jc w:val="center"/>
              <w:rPr>
                <w:rFonts w:ascii="黑体" w:hAnsi="黑体" w:eastAsia="黑体" w:cs="仿宋_GB2312"/>
                <w:bCs/>
                <w:sz w:val="30"/>
                <w:szCs w:val="30"/>
              </w:rPr>
            </w:pPr>
            <w:r>
              <w:rPr>
                <w:rFonts w:ascii="黑体" w:hAnsi="黑体" w:eastAsia="黑体" w:cs="仿宋_GB2312"/>
                <w:bCs/>
                <w:sz w:val="30"/>
                <w:szCs w:val="30"/>
              </w:rPr>
              <w:t>机构</w:t>
            </w:r>
            <w:r>
              <w:rPr>
                <w:rFonts w:hint="eastAsia" w:ascii="黑体" w:hAnsi="黑体" w:eastAsia="黑体" w:cs="仿宋_GB2312"/>
                <w:bCs/>
                <w:sz w:val="30"/>
                <w:szCs w:val="30"/>
              </w:rPr>
              <w:t>/项目名称</w:t>
            </w:r>
          </w:p>
        </w:tc>
        <w:tc>
          <w:tcPr>
            <w:tcW w:w="1559" w:type="dxa"/>
          </w:tcPr>
          <w:p>
            <w:pPr>
              <w:spacing w:line="520" w:lineRule="exact"/>
              <w:jc w:val="center"/>
              <w:rPr>
                <w:rFonts w:ascii="黑体" w:hAnsi="黑体" w:eastAsia="黑体" w:cs="仿宋_GB2312"/>
                <w:bCs/>
                <w:sz w:val="30"/>
                <w:szCs w:val="30"/>
              </w:rPr>
            </w:pPr>
            <w:r>
              <w:rPr>
                <w:rFonts w:ascii="黑体" w:hAnsi="黑体" w:eastAsia="黑体" w:cs="仿宋_GB2312"/>
                <w:bCs/>
                <w:sz w:val="30"/>
                <w:szCs w:val="30"/>
              </w:rPr>
              <w:t>中期考核结论</w:t>
            </w:r>
          </w:p>
        </w:tc>
        <w:tc>
          <w:tcPr>
            <w:tcW w:w="1965" w:type="dxa"/>
          </w:tcPr>
          <w:p>
            <w:pPr>
              <w:spacing w:line="520" w:lineRule="exact"/>
              <w:jc w:val="center"/>
              <w:rPr>
                <w:rFonts w:ascii="黑体" w:hAnsi="黑体" w:eastAsia="黑体" w:cs="仿宋_GB2312"/>
                <w:bCs/>
                <w:sz w:val="30"/>
                <w:szCs w:val="30"/>
              </w:rPr>
            </w:pPr>
            <w:r>
              <w:rPr>
                <w:rFonts w:ascii="黑体" w:hAnsi="黑体" w:eastAsia="黑体" w:cs="仿宋_GB2312"/>
                <w:bCs/>
                <w:sz w:val="30"/>
                <w:szCs w:val="30"/>
              </w:rPr>
              <w:t>奖补经费</w:t>
            </w:r>
            <w:r>
              <w:rPr>
                <w:rFonts w:hint="eastAsia" w:ascii="黑体" w:hAnsi="黑体" w:eastAsia="黑体" w:cs="仿宋_GB2312"/>
                <w:bCs/>
                <w:sz w:val="30"/>
                <w:szCs w:val="30"/>
              </w:rPr>
              <w:t>（建议金额）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w:t>
            </w:r>
          </w:p>
        </w:tc>
        <w:tc>
          <w:tcPr>
            <w:tcW w:w="10626" w:type="dxa"/>
          </w:tcPr>
          <w:p>
            <w:pPr>
              <w:spacing w:line="46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西交利物浦大学</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优秀</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w:t>
            </w:r>
          </w:p>
        </w:tc>
        <w:tc>
          <w:tcPr>
            <w:tcW w:w="10626" w:type="dxa"/>
          </w:tcPr>
          <w:p>
            <w:pPr>
              <w:spacing w:line="460" w:lineRule="exact"/>
              <w:jc w:val="left"/>
              <w:rPr>
                <w:rFonts w:ascii="仿宋_GB2312" w:hAnsi="仿宋_GB2312" w:eastAsia="仿宋_GB2312" w:cs="仿宋_GB2312"/>
                <w:b/>
                <w:bCs/>
                <w:sz w:val="30"/>
                <w:szCs w:val="30"/>
              </w:rPr>
            </w:pPr>
            <w:r>
              <w:rPr>
                <w:rFonts w:hint="eastAsia" w:ascii="仿宋_GB2312" w:hAnsi="仿宋_GB2312" w:eastAsia="仿宋_GB2312" w:cs="仿宋_GB2312"/>
                <w:sz w:val="30"/>
                <w:szCs w:val="30"/>
              </w:rPr>
              <w:t>东南大学蒙纳士大学苏州联合研究生院</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3</w:t>
            </w:r>
          </w:p>
        </w:tc>
        <w:tc>
          <w:tcPr>
            <w:tcW w:w="10626" w:type="dxa"/>
          </w:tcPr>
          <w:p>
            <w:pPr>
              <w:spacing w:line="46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南京信息工程大学雷丁学院</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4</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南京林业大学与加拿大不列颠哥伦比亚大学合作举办木材科学与工程专业本科教育项目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优秀</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5</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江苏科技大学与澳大利亚拉筹伯大学合作举办工商管理专业本科教育项目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6</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南京工业大学与英国谢菲尔德大学合作举办化学专业本科教育项目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7</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南京工业大学与爱尔兰塔拉理工学院合作举办机械工程及自动化专业本科教育项目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8</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南京师范大学与美国马里兰大学合作举办刑事司法学硕士学位教育项目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9</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苏州大学与英国曼彻斯特大学合作举办纺织工程专业本科教育项目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10</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常州工学院与英国赫特福德大学合作举办软件工程专业本科教育项目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11</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江苏师范大学与俄罗斯莫斯科国立经济统计信息大学合作举办国际贸易学硕士学位教育项目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12</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金陵科技学院与澳大利亚昆士兰科技大学合作举办软件工程专业本科教育项目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13</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金陵科技学院与英国德蒙福特大学合作举办通信工程专业本科教育项目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14</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南京大学与荷兰马斯特里赫特管理学院合作举办工商管理硕士学位教育项目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15</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南京邮电大学与美国纽约理工学院合作举办数字媒体技术（传媒艺术）专业本科教育项目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16</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南京邮电大学与美国纽约理工学院合作举办通信工程（电子与计算机工程）专业本科教育项目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17</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南京信息工程大学与英国安格利亚鲁斯金大学合作举办数字媒体艺术本科教育项目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18</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南京中医药大学与澳大利亚格里菲斯大学合作举办生物制药专业本科教育项目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19</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苏州科技大学与英国南威尔士大学（原英国格拉摩根大学）合作举办机械设计制造及其自动化专业本科教育项目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江苏科技大学与乌克兰马卡洛夫国立造船大学合作举办船舶与海洋工程专业本科教育项目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21</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南京林业大学与加拿大不列颠哥伦比亚大学合作举办林学专业本科教育项目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22</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中国矿业大学与澳大利亚皇家墨尔本理工大学合作举办建筑环境与能源应用工程专业本科教育项目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23</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南京审计大学与澳大利亚科廷科技大学合作举办会计学专业本科教育项目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24</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南通职业大学与加拿大道森学院合作举办建筑工程建筑专业专科项目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25</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南京旅游职业学院与澳大利亚威廉·安格里斯技术与教育学院合作举办酒店管理专业高等专科教育项目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26</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南京科技职业学院与加拿大道森学院合作举办数控技术（机械工程技术）专业专科教育项目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27</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南京航空航天大学与澳大利亚皇家墨尔本理工大学合作举办交通运输专业本科教育项目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不合格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851" w:type="dxa"/>
          </w:tcPr>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28</w:t>
            </w:r>
          </w:p>
        </w:tc>
        <w:tc>
          <w:tcPr>
            <w:tcW w:w="10626" w:type="dxa"/>
          </w:tcPr>
          <w:p>
            <w:pPr>
              <w:spacing w:line="460" w:lineRule="exact"/>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无锡职业技术学院与美国皮特社区学院合作举办机械制造与自动化专业专科合作办学项目</w:t>
            </w:r>
          </w:p>
        </w:tc>
        <w:tc>
          <w:tcPr>
            <w:tcW w:w="1559"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不合格</w:t>
            </w:r>
          </w:p>
        </w:tc>
        <w:tc>
          <w:tcPr>
            <w:tcW w:w="1965" w:type="dxa"/>
          </w:tcPr>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0</w:t>
            </w:r>
          </w:p>
        </w:tc>
      </w:tr>
    </w:tbl>
    <w:p/>
    <w:sectPr>
      <w:footerReference r:id="rId3" w:type="default"/>
      <w:footerReference r:id="rId4" w:type="even"/>
      <w:pgSz w:w="16838" w:h="11906" w:orient="landscape"/>
      <w:pgMar w:top="1797" w:right="1418" w:bottom="179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2191697"/>
      <w:docPartObj>
        <w:docPartGallery w:val="AutoText"/>
      </w:docPartObj>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p>
    <w:pPr>
      <w:pStyle w:val="3"/>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4"/>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44"/>
    <w:rsid w:val="0000332C"/>
    <w:rsid w:val="00162026"/>
    <w:rsid w:val="0024190C"/>
    <w:rsid w:val="0025527B"/>
    <w:rsid w:val="005D543B"/>
    <w:rsid w:val="00653AEC"/>
    <w:rsid w:val="00867B34"/>
    <w:rsid w:val="008C4781"/>
    <w:rsid w:val="00D21C44"/>
    <w:rsid w:val="00E60116"/>
    <w:rsid w:val="00E621C5"/>
    <w:rsid w:val="00E91B11"/>
    <w:rsid w:val="00EC5163"/>
    <w:rsid w:val="00F52EFF"/>
    <w:rsid w:val="00F95DAE"/>
    <w:rsid w:val="00F95ED7"/>
    <w:rsid w:val="43904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uiPriority w:val="99"/>
    <w:rPr>
      <w:rFonts w:ascii="仿宋_GB2312" w:hAnsi="Arial" w:eastAsia="仿宋_GB2312"/>
      <w:kern w:val="0"/>
      <w:sz w:val="30"/>
      <w:szCs w:val="20"/>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style2"/>
    <w:basedOn w:val="1"/>
    <w:uiPriority w:val="0"/>
    <w:pPr>
      <w:widowControl/>
      <w:spacing w:before="100" w:beforeAutospacing="1" w:after="100" w:afterAutospacing="1"/>
      <w:jc w:val="left"/>
    </w:pPr>
    <w:rPr>
      <w:rFonts w:ascii="宋体" w:hAnsi="宋体" w:cs="宋体"/>
      <w:kern w:val="0"/>
      <w:sz w:val="24"/>
    </w:rPr>
  </w:style>
  <w:style w:type="character" w:customStyle="1" w:styleId="10">
    <w:name w:val="页脚 Char"/>
    <w:basedOn w:val="5"/>
    <w:link w:val="3"/>
    <w:uiPriority w:val="99"/>
    <w:rPr>
      <w:rFonts w:ascii="Times New Roman" w:hAnsi="Times New Roman" w:eastAsia="宋体" w:cs="Times New Roman"/>
      <w:sz w:val="18"/>
      <w:szCs w:val="18"/>
    </w:rPr>
  </w:style>
  <w:style w:type="paragraph" w:customStyle="1" w:styleId="11">
    <w:name w:val="Char Char Char Char"/>
    <w:basedOn w:val="1"/>
    <w:qFormat/>
    <w:uiPriority w:val="0"/>
    <w:pPr>
      <w:widowControl/>
      <w:spacing w:after="160" w:line="240" w:lineRule="exact"/>
      <w:jc w:val="left"/>
    </w:pPr>
    <w:rPr>
      <w:rFonts w:ascii="仿宋_GB2312" w:hAnsi="Arial" w:eastAsia="仿宋_GB2312"/>
      <w:kern w:val="0"/>
      <w:sz w:val="30"/>
      <w:szCs w:val="20"/>
    </w:rPr>
  </w:style>
  <w:style w:type="character" w:customStyle="1" w:styleId="12">
    <w:name w:val="批注框文本 Char"/>
    <w:basedOn w:val="5"/>
    <w:link w:val="2"/>
    <w:semiHidden/>
    <w:uiPriority w:val="99"/>
    <w:rPr>
      <w:rFonts w:ascii="Times New Roman" w:hAnsi="Times New Roman" w:eastAsia="宋体" w:cs="Times New Roman"/>
      <w:sz w:val="18"/>
      <w:szCs w:val="18"/>
    </w:rPr>
  </w:style>
  <w:style w:type="character" w:customStyle="1" w:styleId="13">
    <w:name w:val="页眉 Char"/>
    <w:basedOn w:val="5"/>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C1670-177F-4C9F-9394-856D704B2E44}">
  <ds:schemaRefs/>
</ds:datastoreItem>
</file>

<file path=docProps/app.xml><?xml version="1.0" encoding="utf-8"?>
<Properties xmlns="http://schemas.openxmlformats.org/officeDocument/2006/extended-properties" xmlns:vt="http://schemas.openxmlformats.org/officeDocument/2006/docPropsVTypes">
  <Template>Normal.dotm</Template>
  <Company>JSJYT</Company>
  <Pages>3</Pages>
  <Words>197</Words>
  <Characters>1125</Characters>
  <Lines>9</Lines>
  <Paragraphs>2</Paragraphs>
  <TotalTime>16</TotalTime>
  <ScaleCrop>false</ScaleCrop>
  <LinksUpToDate>false</LinksUpToDate>
  <CharactersWithSpaces>1320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2018-12-04T02:30:00Z</dcterms:created>
  <dc:creator>Lenovo</dc:creator>
  <cp:lastModifiedBy>Administrator</cp:lastModifiedBy>
  <cp:lastPrinted>2018-12-03T02:31:00Z</cp:lastPrinted>
  <dcterms:modified xsi:type="dcterms:W3CDTF">2018-12-05T07:42:11Z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