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overflowPunct/>
        <w:topLinePunct w:val="0"/>
        <w:bidi w:val="0"/>
        <w:spacing w:line="560" w:lineRule="exact"/>
        <w:ind w:right="-328" w:rightChars="-156"/>
        <w:textAlignment w:val="auto"/>
        <w:rPr>
          <w:rFonts w:hint="default" w:ascii="Times New Roman" w:hAnsi="Times New Roman" w:eastAsia="方正黑体_GBK" w:cs="Times New Roman"/>
          <w:sz w:val="32"/>
          <w:szCs w:val="18"/>
        </w:rPr>
      </w:pPr>
      <w:r>
        <w:rPr>
          <w:rFonts w:hint="default" w:ascii="Times New Roman" w:hAnsi="Times New Roman" w:eastAsia="方正黑体_GBK" w:cs="Times New Roman"/>
          <w:sz w:val="32"/>
          <w:szCs w:val="18"/>
        </w:rPr>
        <w:t>附件1</w:t>
      </w:r>
    </w:p>
    <w:p>
      <w:pPr>
        <w:keepNext w:val="0"/>
        <w:keepLines w:val="0"/>
        <w:pageBreakBefore w:val="0"/>
        <w:kinsoku/>
        <w:overflowPunct/>
        <w:topLinePunct w:val="0"/>
        <w:bidi w:val="0"/>
        <w:spacing w:line="560" w:lineRule="exact"/>
        <w:jc w:val="center"/>
        <w:textAlignment w:val="auto"/>
        <w:rPr>
          <w:rFonts w:hint="default" w:ascii="Times New Roman" w:hAnsi="Times New Roman" w:eastAsia="华文中宋" w:cs="Times New Roman"/>
          <w:b/>
          <w:bCs/>
          <w:sz w:val="44"/>
          <w:szCs w:val="44"/>
        </w:rPr>
      </w:pPr>
    </w:p>
    <w:p>
      <w:pPr>
        <w:keepNext w:val="0"/>
        <w:keepLines w:val="0"/>
        <w:pageBreakBefore w:val="0"/>
        <w:widowControl/>
        <w:shd w:val="clear" w:color="auto" w:fill="FFFFFF"/>
        <w:kinsoku/>
        <w:overflowPunct/>
        <w:topLinePunct w:val="0"/>
        <w:bidi w:val="0"/>
        <w:spacing w:line="560" w:lineRule="exact"/>
        <w:jc w:val="center"/>
        <w:textAlignment w:val="auto"/>
        <w:rPr>
          <w:rFonts w:hint="default" w:ascii="Times New Roman" w:hAnsi="Times New Roman" w:eastAsia="方正小标宋简体" w:cs="Times New Roman"/>
          <w:b w:val="0"/>
          <w:bCs/>
          <w:kern w:val="0"/>
          <w:sz w:val="44"/>
          <w:szCs w:val="44"/>
        </w:rPr>
      </w:pPr>
      <w:r>
        <w:rPr>
          <w:rFonts w:hint="default" w:ascii="Times New Roman" w:hAnsi="Times New Roman" w:eastAsia="方正小标宋简体" w:cs="Times New Roman"/>
          <w:b w:val="0"/>
          <w:bCs/>
          <w:kern w:val="0"/>
          <w:sz w:val="44"/>
          <w:szCs w:val="44"/>
        </w:rPr>
        <w:t>2023年度江苏政府留学奖学金申请推荐简章</w:t>
      </w:r>
    </w:p>
    <w:p>
      <w:pPr>
        <w:keepNext w:val="0"/>
        <w:keepLines w:val="0"/>
        <w:pageBreakBefore w:val="0"/>
        <w:kinsoku/>
        <w:overflowPunct/>
        <w:topLinePunct w:val="0"/>
        <w:bidi w:val="0"/>
        <w:spacing w:line="560" w:lineRule="exact"/>
        <w:jc w:val="center"/>
        <w:textAlignment w:val="auto"/>
        <w:rPr>
          <w:rFonts w:hint="default" w:ascii="Times New Roman" w:hAnsi="Times New Roman" w:eastAsia="仿宋_GB2312" w:cs="Times New Roman"/>
        </w:rPr>
      </w:pP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江苏政府留学奖学金是由省财政专项拨款、省教育厅牵头管理、面向社会各行业的公费出国留学项目,担负着推动全省社会、经济发展和提升高层次人才专业发展水平的重要任务。</w:t>
      </w:r>
    </w:p>
    <w:p>
      <w:pPr>
        <w:keepNext w:val="0"/>
        <w:keepLines w:val="0"/>
        <w:pageBreakBefore w:val="0"/>
        <w:kinsoku/>
        <w:overflowPunct/>
        <w:topLinePunct w:val="0"/>
        <w:bidi w:val="0"/>
        <w:spacing w:line="560" w:lineRule="exact"/>
        <w:ind w:firstLine="627" w:firstLineChars="196"/>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一、资助重点</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重点资助国家和省重点科研项目、重点或新兴学科专业、重点实验室、重点产业的学术带头人和业务骨干，重点资助国家及省战略新兴性发展产业和未来产业发展方向应用型人才，重点资助基础学科拔尖人才和关键领域攻关人才，重点资助国别和区域比较研究以及各单位急需培养的人才。</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重点选派领域为装备制造、信息、生物技术、新材料、航空航天、海洋、金融财会、国际商务、生态环境保护、能源资源、现代交通运输、农业科技、教育、政法、宣传思想文化、医药卫生、防灾减灾等经济社会发展重点领域和人文及应用社会科学。</w:t>
      </w:r>
    </w:p>
    <w:p>
      <w:pPr>
        <w:keepNext w:val="0"/>
        <w:keepLines w:val="0"/>
        <w:pageBreakBefore w:val="0"/>
        <w:kinsoku/>
        <w:overflowPunct/>
        <w:topLinePunct w:val="0"/>
        <w:bidi w:val="0"/>
        <w:spacing w:line="560" w:lineRule="exact"/>
        <w:ind w:firstLine="627" w:firstLineChars="196"/>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二、资助类别、期限和留学国别</w:t>
      </w:r>
    </w:p>
    <w:p>
      <w:pPr>
        <w:keepNext w:val="0"/>
        <w:keepLines w:val="0"/>
        <w:pageBreakBefore w:val="0"/>
        <w:numPr>
          <w:ilvl w:val="0"/>
          <w:numId w:val="1"/>
        </w:numPr>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 xml:space="preserve">访学人员。包括①访问学者，在外时间为3至12个月（文科、管理、外语类进修一般不超过6个月）；②高级研究人员在外时间为1至3个月；③课题组人员在外时间为1至3个月。 </w:t>
      </w:r>
    </w:p>
    <w:p>
      <w:pPr>
        <w:keepNext w:val="0"/>
        <w:keepLines w:val="0"/>
        <w:pageBreakBefore w:val="0"/>
        <w:numPr>
          <w:ilvl w:val="0"/>
          <w:numId w:val="1"/>
        </w:numPr>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中外联合培养博士生，在外时间为6-12个月。</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以上两类派出人员留学国别和单位以邀请函为准。</w:t>
      </w:r>
    </w:p>
    <w:p>
      <w:pPr>
        <w:keepNext w:val="0"/>
        <w:keepLines w:val="0"/>
        <w:pageBreakBefore w:val="0"/>
        <w:kinsoku/>
        <w:overflowPunct/>
        <w:topLinePunct w:val="0"/>
        <w:bidi w:val="0"/>
        <w:spacing w:line="560" w:lineRule="exact"/>
        <w:ind w:firstLine="627" w:firstLineChars="196"/>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三、申请者基本条件</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拥护中国共产党的领导和中国特色社会主义道路，热爱祖国，具有良好的思想品德和政治素质，无违法违纪记录。德才兼备，业务精良，具有良好专业基础和发展潜力，具有服务国家服务人民的社会责任感和端正的世界观、人生观、价值观。</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2. 具有中华人民共和国国籍，不具有国外永久居留权。身体健康，心理健康。</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3. 选拔对象：</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访问学者、高级研究人员、课题组项目：须为江苏省、市属高等学校、中小学、企业事业单位、行政机关、科研机构的正式工作人员。具有全日制大学本科（获学士学位）及以上学历（学位）。申请人原则上应主持或参与研究项目、课题，出国研修计划应紧密结合在研项目、课题、所在单位重点工作。</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高级研究人员申请人申请时年龄不超过55周岁，在实际工作中取得突出业绩。主要面向具有正高级专业技术职称、一年及以上国外留学或工作经历、且在相应学科领域有较深造诣的学校或二级学院（系）负责人、国家重点实验室、教育部重点实验室、国家工程（技术）研究中心负责人或骨干以及地方行政管理部门、国有大中型企业高级行政管理人员。</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访问学者申请人年龄不超过50周岁，本科毕业后应有5年以上的工作经历，硕士毕业后应有2年以上的工作经历，对博士毕业的申请人，没有工作年限的要求。申请人为本单位的业务骨干。</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课题组人员基本条件同访问学者，申请时年龄不超过50周岁，由3至5人组成，人员专业结构合理。研究项目已立项为省部级（含省部级）以上在研课题，与国外单位有一定的合作基础，在国外高水平科研机构有条件进行短期科研攻关、合作研究或产品研发，切实解决国内科研工作中亟待解决的难题。</w:t>
      </w:r>
    </w:p>
    <w:p>
      <w:pPr>
        <w:keepNext w:val="0"/>
        <w:keepLines w:val="0"/>
        <w:pageBreakBefore w:val="0"/>
        <w:numPr>
          <w:ilvl w:val="0"/>
          <w:numId w:val="2"/>
        </w:numPr>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中外联合培养博士生项目申请人申请时年龄不超过35周岁，须为江苏省、市属高等学校或科研机构全日制优秀在读博士研究生，应具备较好的科研能力和科研成果</w:t>
      </w:r>
      <w:r>
        <w:rPr>
          <w:rFonts w:hint="default" w:ascii="Times New Roman" w:hAnsi="Times New Roman" w:eastAsia="仿宋_GB2312" w:cs="Times New Roman"/>
          <w:sz w:val="32"/>
          <w:szCs w:val="32"/>
        </w:rPr>
        <w:t>。</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4. 申请时须提交拟留学单位的邀请函。</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5. 外语合格条件需达到以下条件之一：</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（1）参加"全国外语水平考试 (WSK)"并达到合格标准，成绩有效期为两年，其中英语（PETS5）：笔试总分50分（含）以上，口试总分2分（含）以上；</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（2）外语专业本科(含)以上毕业（专业语种应与留学目的国使用的语种一致）；</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（3）近十年内曾在同一语种国家或地区连续留学8个月（含）以上，或连续工作12个月（含）以上，或曾以公派高级研究学者身份留学3个月（含）以上；</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（4）两年内曾在教育部指定国家公派出国留学人员培训部参加相应语种培训并获结业证书；</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（5）两年内雅思（学术类）6.5分、托福网考95分；</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（6）中外联合培养博士生项目申请人员外语水平如通过国外拟留学单位组织的面试、考试等方式达到其语言要求，视为合格。应在外方入学通知书或正式邀请函中注明或单独出具证明。</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申请时，外语水平未达到派出要求人员，如所在单位重点推荐，亦可申请，但须提供可反映其现有外语水平的证明材料。此类人员如通过评审被录取，需提供合格外语成绩后方可办理后续派出手续。</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6. 对已经获得过国家公派留学奖学金、江苏政府留学奖学金及江苏高校优秀中青年教师和校长境外研修项目资助的出国留学人员，回国工作满三年后可再次申报。已获得过上述资助两次及以上的人员不得申报。</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7. 根据《省教育厅办公室关于江苏政府留学奖学金延期派出相关事宜的通知》（苏教办外函</w:t>
      </w:r>
      <w:r>
        <w:rPr>
          <w:rFonts w:hint="default" w:ascii="Times New Roman" w:hAnsi="Times New Roman" w:eastAsia="仿宋_GB2312" w:cs="Times New Roman"/>
          <w:kern w:val="0"/>
          <w:sz w:val="32"/>
          <w:szCs w:val="32"/>
          <w:lang w:val="en"/>
        </w:rPr>
        <w:t>〔</w:t>
      </w:r>
      <w:r>
        <w:rPr>
          <w:rFonts w:hint="default" w:ascii="Times New Roman" w:hAnsi="Times New Roman" w:eastAsia="仿宋_GB2312" w:cs="Times New Roman"/>
          <w:kern w:val="0"/>
          <w:sz w:val="32"/>
          <w:szCs w:val="32"/>
        </w:rPr>
        <w:t>2021</w:t>
      </w:r>
      <w:r>
        <w:rPr>
          <w:rFonts w:hint="default" w:ascii="Times New Roman" w:hAnsi="Times New Roman" w:eastAsia="仿宋_GB2312" w:cs="Times New Roman"/>
          <w:kern w:val="0"/>
          <w:sz w:val="32"/>
          <w:szCs w:val="32"/>
          <w:lang w:val="en"/>
        </w:rPr>
        <w:t>〕</w:t>
      </w:r>
      <w:r>
        <w:rPr>
          <w:rFonts w:hint="default" w:ascii="Times New Roman" w:hAnsi="Times New Roman" w:eastAsia="仿宋_GB2312" w:cs="Times New Roman"/>
          <w:kern w:val="0"/>
          <w:sz w:val="32"/>
          <w:szCs w:val="32"/>
        </w:rPr>
        <w:t>17号），因疫情原因，2019年度、2020年度江苏政府留学奖学金录取人员书面申请放弃本奖学金资格或到期未派出人员，不受《江苏政府留学奖学金项目管理办法》第六条第(三)项“曾获得江苏政府留学奖学金资格未按期派出的，自奖学金录取公布之日起3年内不得申报”的限制。</w:t>
      </w:r>
    </w:p>
    <w:p>
      <w:pPr>
        <w:keepNext w:val="0"/>
        <w:keepLines w:val="0"/>
        <w:pageBreakBefore w:val="0"/>
        <w:kinsoku/>
        <w:overflowPunct/>
        <w:topLinePunct w:val="0"/>
        <w:bidi w:val="0"/>
        <w:spacing w:line="560" w:lineRule="exact"/>
        <w:ind w:firstLine="627" w:firstLineChars="196"/>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四、在外费用标准及奖学金额度</w:t>
      </w:r>
    </w:p>
    <w:p>
      <w:pPr>
        <w:keepNext w:val="0"/>
        <w:keepLines w:val="0"/>
        <w:pageBreakBefore w:val="0"/>
        <w:kinsoku/>
        <w:overflowPunct/>
        <w:topLinePunct w:val="0"/>
        <w:bidi w:val="0"/>
        <w:adjustRightInd w:val="0"/>
        <w:snapToGrid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江苏政府留学奖学金的颁发将根据申请人课题准备情况、与项目资助重点的关联度、对外联系进修研究情况、所在单位的条件、申请的专业和国别、专家评审结果等因素综合确定。其额度具体为：</w:t>
      </w:r>
    </w:p>
    <w:tbl>
      <w:tblPr>
        <w:tblStyle w:val="2"/>
        <w:tblW w:w="94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91"/>
        <w:gridCol w:w="1731"/>
        <w:gridCol w:w="1708"/>
        <w:gridCol w:w="1550"/>
        <w:gridCol w:w="1032"/>
        <w:gridCol w:w="1053"/>
        <w:gridCol w:w="9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3" w:hRule="atLeast"/>
          <w:jc w:val="center"/>
        </w:trPr>
        <w:tc>
          <w:tcPr>
            <w:tcW w:w="1491" w:type="dxa"/>
            <w:noWrap w:val="0"/>
            <w:vAlign w:val="top"/>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p>
        </w:tc>
        <w:tc>
          <w:tcPr>
            <w:tcW w:w="1731" w:type="dxa"/>
            <w:noWrap w:val="0"/>
            <w:vAlign w:val="top"/>
          </w:tcPr>
          <w:p>
            <w:pPr>
              <w:keepNext w:val="0"/>
              <w:keepLines w:val="0"/>
              <w:pageBreakBefore w:val="0"/>
              <w:kinsoku/>
              <w:overflowPunct/>
              <w:topLinePunct w:val="0"/>
              <w:bidi w:val="0"/>
              <w:adjustRightInd w:val="0"/>
              <w:snapToGrid w:val="0"/>
              <w:spacing w:line="560" w:lineRule="exact"/>
              <w:jc w:val="center"/>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12个月</w:t>
            </w:r>
          </w:p>
        </w:tc>
        <w:tc>
          <w:tcPr>
            <w:tcW w:w="1708" w:type="dxa"/>
            <w:noWrap w:val="0"/>
            <w:vAlign w:val="top"/>
          </w:tcPr>
          <w:p>
            <w:pPr>
              <w:keepNext w:val="0"/>
              <w:keepLines w:val="0"/>
              <w:pageBreakBefore w:val="0"/>
              <w:kinsoku/>
              <w:overflowPunct/>
              <w:topLinePunct w:val="0"/>
              <w:bidi w:val="0"/>
              <w:adjustRightInd w:val="0"/>
              <w:snapToGrid w:val="0"/>
              <w:spacing w:line="560" w:lineRule="exact"/>
              <w:jc w:val="center"/>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9个月</w:t>
            </w:r>
          </w:p>
        </w:tc>
        <w:tc>
          <w:tcPr>
            <w:tcW w:w="1550" w:type="dxa"/>
            <w:noWrap w:val="0"/>
            <w:vAlign w:val="top"/>
          </w:tcPr>
          <w:p>
            <w:pPr>
              <w:keepNext w:val="0"/>
              <w:keepLines w:val="0"/>
              <w:pageBreakBefore w:val="0"/>
              <w:kinsoku/>
              <w:overflowPunct/>
              <w:topLinePunct w:val="0"/>
              <w:bidi w:val="0"/>
              <w:adjustRightInd w:val="0"/>
              <w:snapToGrid w:val="0"/>
              <w:spacing w:line="560" w:lineRule="exact"/>
              <w:jc w:val="center"/>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6个月</w:t>
            </w:r>
          </w:p>
        </w:tc>
        <w:tc>
          <w:tcPr>
            <w:tcW w:w="1032" w:type="dxa"/>
            <w:noWrap w:val="0"/>
            <w:vAlign w:val="top"/>
          </w:tcPr>
          <w:p>
            <w:pPr>
              <w:keepNext w:val="0"/>
              <w:keepLines w:val="0"/>
              <w:pageBreakBefore w:val="0"/>
              <w:kinsoku/>
              <w:overflowPunct/>
              <w:topLinePunct w:val="0"/>
              <w:bidi w:val="0"/>
              <w:adjustRightInd w:val="0"/>
              <w:snapToGrid w:val="0"/>
              <w:spacing w:line="560" w:lineRule="exact"/>
              <w:jc w:val="center"/>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3个月</w:t>
            </w:r>
          </w:p>
        </w:tc>
        <w:tc>
          <w:tcPr>
            <w:tcW w:w="1053" w:type="dxa"/>
            <w:noWrap w:val="0"/>
            <w:vAlign w:val="top"/>
          </w:tcPr>
          <w:p>
            <w:pPr>
              <w:keepNext w:val="0"/>
              <w:keepLines w:val="0"/>
              <w:pageBreakBefore w:val="0"/>
              <w:kinsoku/>
              <w:overflowPunct/>
              <w:topLinePunct w:val="0"/>
              <w:bidi w:val="0"/>
              <w:adjustRightInd w:val="0"/>
              <w:snapToGrid w:val="0"/>
              <w:spacing w:line="560" w:lineRule="exact"/>
              <w:jc w:val="center"/>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2个月</w:t>
            </w:r>
          </w:p>
        </w:tc>
        <w:tc>
          <w:tcPr>
            <w:tcW w:w="923" w:type="dxa"/>
            <w:noWrap w:val="0"/>
            <w:vAlign w:val="top"/>
          </w:tcPr>
          <w:p>
            <w:pPr>
              <w:keepNext w:val="0"/>
              <w:keepLines w:val="0"/>
              <w:pageBreakBefore w:val="0"/>
              <w:kinsoku/>
              <w:overflowPunct/>
              <w:topLinePunct w:val="0"/>
              <w:bidi w:val="0"/>
              <w:adjustRightInd w:val="0"/>
              <w:snapToGrid w:val="0"/>
              <w:spacing w:line="560" w:lineRule="exact"/>
              <w:jc w:val="center"/>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1个月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8" w:hRule="atLeast"/>
          <w:jc w:val="center"/>
        </w:trPr>
        <w:tc>
          <w:tcPr>
            <w:tcW w:w="1491"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访问学者</w:t>
            </w:r>
          </w:p>
        </w:tc>
        <w:tc>
          <w:tcPr>
            <w:tcW w:w="1731"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14/12万元</w:t>
            </w:r>
          </w:p>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(根据国别确定)</w:t>
            </w:r>
          </w:p>
        </w:tc>
        <w:tc>
          <w:tcPr>
            <w:tcW w:w="1708"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10.5/9万元</w:t>
            </w:r>
          </w:p>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(根据国别确定)</w:t>
            </w:r>
          </w:p>
        </w:tc>
        <w:tc>
          <w:tcPr>
            <w:tcW w:w="1550"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7/6万元</w:t>
            </w:r>
          </w:p>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(根据国别确定)</w:t>
            </w:r>
          </w:p>
        </w:tc>
        <w:tc>
          <w:tcPr>
            <w:tcW w:w="1032"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3.5万元</w:t>
            </w:r>
          </w:p>
        </w:tc>
        <w:tc>
          <w:tcPr>
            <w:tcW w:w="1053"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p>
        </w:tc>
        <w:tc>
          <w:tcPr>
            <w:tcW w:w="923"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1" w:hRule="atLeast"/>
          <w:jc w:val="center"/>
        </w:trPr>
        <w:tc>
          <w:tcPr>
            <w:tcW w:w="1491"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高级研究人员</w:t>
            </w:r>
          </w:p>
        </w:tc>
        <w:tc>
          <w:tcPr>
            <w:tcW w:w="1731"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p>
        </w:tc>
        <w:tc>
          <w:tcPr>
            <w:tcW w:w="1708"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p>
        </w:tc>
        <w:tc>
          <w:tcPr>
            <w:tcW w:w="1550"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p>
        </w:tc>
        <w:tc>
          <w:tcPr>
            <w:tcW w:w="3008" w:type="dxa"/>
            <w:gridSpan w:val="3"/>
            <w:noWrap w:val="0"/>
            <w:vAlign w:val="center"/>
          </w:tcPr>
          <w:p>
            <w:pPr>
              <w:keepNext w:val="0"/>
              <w:keepLines w:val="0"/>
              <w:pageBreakBefore w:val="0"/>
              <w:kinsoku/>
              <w:overflowPunct/>
              <w:topLinePunct w:val="0"/>
              <w:bidi w:val="0"/>
              <w:adjustRightInd w:val="0"/>
              <w:snapToGrid w:val="0"/>
              <w:spacing w:line="560" w:lineRule="exact"/>
              <w:ind w:left="240" w:hanging="240" w:hangingChars="100"/>
              <w:jc w:val="lef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按国家公派月生活标准计额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jc w:val="center"/>
        </w:trPr>
        <w:tc>
          <w:tcPr>
            <w:tcW w:w="1491"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课题组</w:t>
            </w:r>
          </w:p>
        </w:tc>
        <w:tc>
          <w:tcPr>
            <w:tcW w:w="1731"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p>
        </w:tc>
        <w:tc>
          <w:tcPr>
            <w:tcW w:w="1708"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p>
        </w:tc>
        <w:tc>
          <w:tcPr>
            <w:tcW w:w="1550"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p>
        </w:tc>
        <w:tc>
          <w:tcPr>
            <w:tcW w:w="3008" w:type="dxa"/>
            <w:gridSpan w:val="3"/>
            <w:noWrap w:val="0"/>
            <w:vAlign w:val="center"/>
          </w:tcPr>
          <w:p>
            <w:pPr>
              <w:keepNext w:val="0"/>
              <w:keepLines w:val="0"/>
              <w:pageBreakBefore w:val="0"/>
              <w:kinsoku/>
              <w:overflowPunct/>
              <w:topLinePunct w:val="0"/>
              <w:bidi w:val="0"/>
              <w:adjustRightInd w:val="0"/>
              <w:snapToGrid w:val="0"/>
              <w:spacing w:line="560" w:lineRule="exact"/>
              <w:ind w:left="240" w:hanging="240" w:hangingChars="100"/>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每人每月1.1万元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8" w:hRule="atLeast"/>
          <w:jc w:val="center"/>
        </w:trPr>
        <w:tc>
          <w:tcPr>
            <w:tcW w:w="1491" w:type="dxa"/>
            <w:noWrap w:val="0"/>
            <w:vAlign w:val="center"/>
          </w:tcPr>
          <w:p>
            <w:pPr>
              <w:keepNext w:val="0"/>
              <w:keepLines w:val="0"/>
              <w:pageBreakBefore w:val="0"/>
              <w:kinsoku/>
              <w:overflowPunct/>
              <w:topLinePunct w:val="0"/>
              <w:bidi w:val="0"/>
              <w:adjustRightInd w:val="0"/>
              <w:snapToGrid w:val="0"/>
              <w:spacing w:line="560" w:lineRule="exact"/>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中外联合培养博士生</w:t>
            </w:r>
          </w:p>
        </w:tc>
        <w:tc>
          <w:tcPr>
            <w:tcW w:w="7997" w:type="dxa"/>
            <w:gridSpan w:val="6"/>
            <w:noWrap w:val="0"/>
            <w:vAlign w:val="center"/>
          </w:tcPr>
          <w:p>
            <w:pPr>
              <w:keepNext w:val="0"/>
              <w:keepLines w:val="0"/>
              <w:pageBreakBefore w:val="0"/>
              <w:kinsoku/>
              <w:overflowPunct/>
              <w:topLinePunct w:val="0"/>
              <w:bidi w:val="0"/>
              <w:adjustRightInd w:val="0"/>
              <w:snapToGrid w:val="0"/>
              <w:spacing w:line="560" w:lineRule="exact"/>
              <w:ind w:left="240" w:hanging="240" w:hangingChars="100"/>
              <w:jc w:val="center"/>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3万元/6个月</w:t>
            </w:r>
          </w:p>
          <w:p>
            <w:pPr>
              <w:keepNext w:val="0"/>
              <w:keepLines w:val="0"/>
              <w:pageBreakBefore w:val="0"/>
              <w:kinsoku/>
              <w:overflowPunct/>
              <w:topLinePunct w:val="0"/>
              <w:bidi w:val="0"/>
              <w:adjustRightInd w:val="0"/>
              <w:snapToGrid w:val="0"/>
              <w:spacing w:line="560" w:lineRule="exact"/>
              <w:ind w:left="240" w:hanging="240" w:hangingChars="100"/>
              <w:jc w:val="center"/>
              <w:textAlignment w:val="auto"/>
              <w:rPr>
                <w:rFonts w:hint="default" w:ascii="Times New Roman" w:hAnsi="Times New Roman" w:eastAsia="宋体" w:cs="Times New Roman"/>
                <w:kern w:val="0"/>
                <w:sz w:val="24"/>
              </w:rPr>
            </w:pPr>
            <w:r>
              <w:rPr>
                <w:rFonts w:hint="default" w:ascii="Times New Roman" w:hAnsi="Times New Roman" w:eastAsia="宋体" w:cs="Times New Roman"/>
                <w:kern w:val="0"/>
                <w:sz w:val="24"/>
              </w:rPr>
              <w:t>6万元/12个月</w:t>
            </w:r>
          </w:p>
        </w:tc>
      </w:tr>
    </w:tbl>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录取人员获得有效签证后，奖学金将一次性下拨至录取人员所在单位或主管部门。重点推荐人员，所在单位必须承担其一次往返国际旅费，有条件的，建议向地方财政申请解决配套经费。中外联合培养博士生项目获省政府留学奖学金资助后，其所在单位或学校给予不少于1:1的配套经费。</w:t>
      </w:r>
    </w:p>
    <w:p>
      <w:pPr>
        <w:keepNext w:val="0"/>
        <w:keepLines w:val="0"/>
        <w:pageBreakBefore w:val="0"/>
        <w:kinsoku/>
        <w:overflowPunct/>
        <w:topLinePunct w:val="0"/>
        <w:bidi w:val="0"/>
        <w:spacing w:line="560" w:lineRule="exact"/>
        <w:ind w:firstLine="627" w:firstLineChars="196"/>
        <w:textAlignment w:val="auto"/>
        <w:rPr>
          <w:rFonts w:hint="default" w:ascii="Times New Roman" w:hAnsi="Times New Roman" w:eastAsia="黑体" w:cs="Times New Roman"/>
          <w:kern w:val="0"/>
          <w:sz w:val="32"/>
          <w:szCs w:val="32"/>
        </w:rPr>
      </w:pPr>
      <w:r>
        <w:rPr>
          <w:rFonts w:hint="default" w:ascii="Times New Roman" w:hAnsi="Times New Roman" w:eastAsia="黑体" w:cs="Times New Roman"/>
          <w:kern w:val="0"/>
          <w:sz w:val="32"/>
          <w:szCs w:val="32"/>
        </w:rPr>
        <w:t>五、申报、选拔、派出及回国</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1．申报材料。（1）由个人填写《2023年度江苏政府留学奖学金申请表》，并按照各项目申请材料及说明准备申请材料并提交所在单位审核，所有申请材料须确保齐全、真实有效。推选单位应对申请人的资格、综合素质、发展潜力、出国留学必要性、学习计划可行性、品德修养及身心健康情况等方面进行审核（评审）后出具有针对性的单位推荐意见。单位重点推荐人员，由单位在“单位意见”上明确签署重点推荐；（2）由单位填写《2023年度江苏政府留学奖学金申报人员信息汇总表》。</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2．申报材料由单位统一报送。报送采取纸质（一式两份）报送和电子邮件报送两种形式。联系人：闫莉，电话：025-83335212，邮件地址：</w:t>
      </w:r>
      <w:r>
        <w:rPr>
          <w:rFonts w:hint="default" w:ascii="Times New Roman" w:hAnsi="Times New Roman" w:eastAsia="仿宋_GB2312" w:cs="Times New Roman"/>
          <w:sz w:val="32"/>
          <w:szCs w:val="32"/>
        </w:rPr>
        <w:fldChar w:fldCharType="begin"/>
      </w:r>
      <w:r>
        <w:rPr>
          <w:rFonts w:hint="default" w:ascii="Times New Roman" w:hAnsi="Times New Roman" w:eastAsia="仿宋_GB2312" w:cs="Times New Roman"/>
          <w:sz w:val="32"/>
          <w:szCs w:val="32"/>
        </w:rPr>
        <w:instrText xml:space="preserve"> HYPERLINK "mailto:jeaie_yanl@ec.js.edu.cn," </w:instrText>
      </w:r>
      <w:r>
        <w:rPr>
          <w:rFonts w:hint="default" w:ascii="Times New Roman" w:hAnsi="Times New Roman" w:eastAsia="仿宋_GB2312" w:cs="Times New Roman"/>
          <w:sz w:val="32"/>
          <w:szCs w:val="32"/>
        </w:rPr>
        <w:fldChar w:fldCharType="separate"/>
      </w:r>
      <w:r>
        <w:rPr>
          <w:rFonts w:hint="default" w:ascii="Times New Roman" w:hAnsi="Times New Roman" w:eastAsia="仿宋_GB2312" w:cs="Times New Roman"/>
          <w:kern w:val="0"/>
          <w:sz w:val="32"/>
          <w:szCs w:val="32"/>
        </w:rPr>
        <w:t>jeaie_yanl@ec.js.edu.cn,</w:t>
      </w:r>
      <w:r>
        <w:rPr>
          <w:rFonts w:hint="default" w:ascii="Times New Roman" w:hAnsi="Times New Roman" w:eastAsia="仿宋_GB2312" w:cs="Times New Roman"/>
          <w:kern w:val="0"/>
          <w:sz w:val="32"/>
          <w:szCs w:val="32"/>
        </w:rPr>
        <w:fldChar w:fldCharType="end"/>
      </w:r>
      <w:r>
        <w:rPr>
          <w:rFonts w:hint="default" w:ascii="Times New Roman" w:hAnsi="Times New Roman" w:eastAsia="仿宋_GB2312" w:cs="Times New Roman"/>
          <w:kern w:val="0"/>
          <w:sz w:val="32"/>
          <w:szCs w:val="32"/>
        </w:rPr>
        <w:t xml:space="preserve"> 地址：南京市北京西路15号2013室，邮编：210024。</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3．选拔录取。省教育厅将组织专家评审，择优录取。录取工作将于2023年6月底结束，录取名单以省教育厅通知形式下发，并在“江苏教育”门户网上公布（网址：http://jyt.jiangsu.gov.cn）。</w:t>
      </w:r>
    </w:p>
    <w:p>
      <w:pPr>
        <w:keepNext w:val="0"/>
        <w:keepLines w:val="0"/>
        <w:pageBreakBefore w:val="0"/>
        <w:kinsoku/>
        <w:overflowPunct/>
        <w:topLinePunct w:val="0"/>
        <w:bidi w:val="0"/>
        <w:spacing w:line="560" w:lineRule="exact"/>
        <w:ind w:firstLine="598" w:firstLineChars="187"/>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4．派出。录取人员均须与省教育厅、所在单位签订《江苏政府留学奖学金协议书》，并领取《江苏政府留学奖学金资助证明》。所在单位应协助留学人员按因公出国管理规定办理出国任务批件、申请外汇、外汇核销等手续。录取人员于2023年7月1日起陆续派出，2024年12月31日前派出完毕。奖学金人员留学国别和单位以邀请函为准，不得自行改变国别，逾期不派出则资格取消。</w:t>
      </w:r>
    </w:p>
    <w:p>
      <w:pPr>
        <w:keepNext w:val="0"/>
        <w:keepLines w:val="0"/>
        <w:pageBreakBefore w:val="0"/>
        <w:kinsoku/>
        <w:overflowPunct/>
        <w:topLinePunct w:val="0"/>
        <w:bidi w:val="0"/>
        <w:spacing w:line="560" w:lineRule="exact"/>
        <w:ind w:firstLine="598" w:firstLineChars="187"/>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各派出单位应定期对本单位派出人员情况、在外管理和回国情况以及取得的公派留学效益等进行总结，于每年规定时间前将所在单位上一年度江苏政府留学奖学金派出情况、经费使用情况、总结报告连同典型事例等材料提交至我厅。</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5．回国。奖学金人员应按期回国履行服务义务，回国后, 应在1个月内在单位内部公布留学总结及学术成果报告要点，并向所在单位提交《江苏政府留学奖学金人员绩效考核表》。奖学金人员延期回国，经所在单位同意后，向省教育厅书面备案。延期回国原则上不超过半年，省教育厅不再资助延期期间的奖学金。逾期回国人员将根据协议相关条款处理。因故提前回国超过10天的人员，须经所在单位同意后，向省教育厅书面报备，说明提前回国原因，并按比例退还相应的奖学金费用至拨款账户。</w:t>
      </w:r>
    </w:p>
    <w:p>
      <w:pPr>
        <w:keepNext w:val="0"/>
        <w:keepLines w:val="0"/>
        <w:pageBreakBefore w:val="0"/>
        <w:kinsoku/>
        <w:overflowPunct/>
        <w:topLinePunct w:val="0"/>
        <w:bidi w:val="0"/>
        <w:spacing w:line="560" w:lineRule="exact"/>
        <w:ind w:firstLine="640" w:firstLineChars="200"/>
        <w:textAlignment w:val="auto"/>
        <w:rPr>
          <w:rFonts w:hint="default" w:ascii="Times New Roman" w:hAnsi="Times New Roman" w:eastAsia="仿宋" w:cs="Times New Roman"/>
          <w:kern w:val="0"/>
          <w:sz w:val="32"/>
          <w:szCs w:val="32"/>
        </w:rPr>
      </w:pPr>
    </w:p>
    <w:p>
      <w:pPr>
        <w:keepNext w:val="0"/>
        <w:keepLines w:val="0"/>
        <w:pageBreakBefore w:val="0"/>
        <w:kinsoku/>
        <w:overflowPunct/>
        <w:topLinePunct w:val="0"/>
        <w:bidi w:val="0"/>
        <w:spacing w:line="560" w:lineRule="exact"/>
        <w:ind w:left="328" w:leftChars="23" w:hanging="280" w:hangingChars="1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sz w:val="28"/>
        </w:rPr>
        <w:t xml:space="preserve">          </w:t>
      </w:r>
      <w:r>
        <w:rPr>
          <w:rFonts w:hint="default" w:ascii="Times New Roman" w:hAnsi="Times New Roman" w:eastAsia="仿宋" w:cs="Times New Roman"/>
          <w:kern w:val="0"/>
          <w:sz w:val="32"/>
          <w:szCs w:val="32"/>
        </w:rPr>
        <w:t xml:space="preserve">                               </w:t>
      </w:r>
      <w:r>
        <w:rPr>
          <w:rFonts w:hint="default" w:ascii="Times New Roman" w:hAnsi="Times New Roman" w:eastAsia="仿宋_GB2312" w:cs="Times New Roman"/>
          <w:kern w:val="0"/>
          <w:sz w:val="32"/>
          <w:szCs w:val="32"/>
        </w:rPr>
        <w:t>2023年1月</w:t>
      </w:r>
    </w:p>
    <w:p>
      <w:pPr>
        <w:keepNext w:val="0"/>
        <w:keepLines w:val="0"/>
        <w:pageBreakBefore w:val="0"/>
        <w:kinsoku/>
        <w:overflowPunct/>
        <w:topLinePunct w:val="0"/>
        <w:bidi w:val="0"/>
        <w:spacing w:line="560" w:lineRule="exact"/>
        <w:ind w:left="368" w:leftChars="23" w:hanging="320" w:hangingChars="100"/>
        <w:textAlignment w:val="auto"/>
        <w:rPr>
          <w:rFonts w:hint="default" w:ascii="Times New Roman" w:hAnsi="Times New Roman" w:eastAsia="仿宋" w:cs="Times New Roman"/>
          <w:kern w:val="0"/>
          <w:sz w:val="32"/>
          <w:szCs w:val="32"/>
        </w:rPr>
      </w:pPr>
    </w:p>
    <w:p>
      <w:pPr>
        <w:keepNext w:val="0"/>
        <w:keepLines w:val="0"/>
        <w:pageBreakBefore w:val="0"/>
        <w:kinsoku/>
        <w:overflowPunct/>
        <w:topLinePunct w:val="0"/>
        <w:bidi w:val="0"/>
        <w:spacing w:line="560" w:lineRule="exact"/>
        <w:ind w:left="368" w:leftChars="23" w:hanging="320" w:hangingChars="100"/>
        <w:jc w:val="both"/>
        <w:textAlignment w:val="auto"/>
        <w:rPr>
          <w:rFonts w:hint="default" w:ascii="Times New Roman" w:hAnsi="Times New Roman" w:eastAsia="仿宋" w:cs="Times New Roman"/>
          <w:kern w:val="0"/>
          <w:sz w:val="32"/>
          <w:szCs w:val="32"/>
        </w:rPr>
        <w:sectPr>
          <w:footerReference r:id="rId4" w:type="default"/>
          <w:headerReference r:id="rId3" w:type="even"/>
          <w:footerReference r:id="rId5" w:type="even"/>
          <w:pgSz w:w="11906" w:h="16838"/>
          <w:pgMar w:top="2098" w:right="1531" w:bottom="1985" w:left="1531" w:header="851" w:footer="1134" w:gutter="0"/>
          <w:pgNumType w:fmt="decimal"/>
          <w:cols w:space="720" w:num="1"/>
          <w:titlePg/>
          <w:docGrid w:type="lines" w:linePitch="312" w:charSpace="0"/>
        </w:sectPr>
      </w:pPr>
      <w:bookmarkStart w:id="0" w:name="_GoBack"/>
      <w:bookmarkEnd w:id="0"/>
    </w:p>
    <w:p/>
    <w:sectPr>
      <w:footerReference r:id="rId6"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黑体_GBK">
    <w:altName w:val="微软雅黑"/>
    <w:panose1 w:val="03000509000000000000"/>
    <w:charset w:val="86"/>
    <w:family w:val="auto"/>
    <w:pitch w:val="default"/>
    <w:sig w:usb0="00000000" w:usb1="00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tabs>
        <w:tab w:val="center" w:pos="4153"/>
        <w:tab w:val="right" w:pos="8306"/>
      </w:tabs>
      <w:snapToGrid w:val="0"/>
      <w:ind w:left="420" w:leftChars="200" w:right="420" w:rightChars="200"/>
      <w:jc w:val="right"/>
      <w:rPr>
        <w:rFonts w:ascii="宋体" w:hAnsi="宋体" w:eastAsia="宋体" w:cs="Times New Roman"/>
        <w:kern w:val="2"/>
        <w:sz w:val="28"/>
        <w:szCs w:val="28"/>
        <w:lang w:val="en-US" w:eastAsia="zh-CN" w:bidi="ar-SA"/>
      </w:rPr>
    </w:pPr>
    <w:r>
      <w:rPr>
        <w:rFonts w:ascii="Times New Roman" w:hAnsi="Times New Roman" w:eastAsia="宋体" w:cs="Times New Roman"/>
        <w:kern w:val="2"/>
        <w:sz w:val="28"/>
        <w:szCs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widowControl w:val="0"/>
                            <w:tabs>
                              <w:tab w:val="center" w:pos="4153"/>
                              <w:tab w:val="right" w:pos="8306"/>
                            </w:tabs>
                            <w:snapToGrid w:val="0"/>
                            <w:ind w:left="420" w:leftChars="200" w:right="420" w:rightChars="200"/>
                            <w:jc w:val="right"/>
                            <w:rPr>
                              <w:rFonts w:ascii="Times New Roman" w:hAnsi="Times New Roman" w:eastAsia="宋体" w:cs="Times New Roman"/>
                              <w:kern w:val="2"/>
                              <w:sz w:val="18"/>
                              <w:szCs w:val="18"/>
                              <w:lang w:val="en-US" w:eastAsia="zh-CN" w:bidi="ar-SA"/>
                            </w:rPr>
                          </w:pPr>
                          <w:r>
                            <w:rPr>
                              <w:rFonts w:hint="eastAsia" w:ascii="宋体" w:hAnsi="宋体" w:eastAsia="宋体" w:cs="Times New Roman"/>
                              <w:kern w:val="2"/>
                              <w:sz w:val="28"/>
                              <w:szCs w:val="28"/>
                              <w:lang w:val="en-US" w:eastAsia="zh-CN" w:bidi="ar-SA"/>
                            </w:rPr>
                            <w:t>—</w:t>
                          </w:r>
                          <w:r>
                            <w:rPr>
                              <w:rFonts w:ascii="宋体" w:hAnsi="宋体" w:eastAsia="宋体" w:cs="Times New Roman"/>
                              <w:kern w:val="2"/>
                              <w:sz w:val="28"/>
                              <w:szCs w:val="28"/>
                              <w:lang w:val="en-US" w:eastAsia="zh-CN" w:bidi="ar-SA"/>
                            </w:rPr>
                            <w:fldChar w:fldCharType="begin"/>
                          </w:r>
                          <w:r>
                            <w:rPr>
                              <w:rFonts w:ascii="宋体" w:hAnsi="宋体" w:eastAsia="宋体" w:cs="Times New Roman"/>
                              <w:kern w:val="2"/>
                              <w:sz w:val="28"/>
                              <w:szCs w:val="28"/>
                              <w:lang w:val="en-US" w:eastAsia="zh-CN" w:bidi="ar-SA"/>
                            </w:rPr>
                            <w:instrText xml:space="preserve">PAGE   \* MERGEFORMAT</w:instrText>
                          </w:r>
                          <w:r>
                            <w:rPr>
                              <w:rFonts w:ascii="宋体" w:hAnsi="宋体" w:eastAsia="宋体" w:cs="Times New Roman"/>
                              <w:kern w:val="2"/>
                              <w:sz w:val="28"/>
                              <w:szCs w:val="28"/>
                              <w:lang w:val="en-US" w:eastAsia="zh-CN" w:bidi="ar-SA"/>
                            </w:rPr>
                            <w:fldChar w:fldCharType="separate"/>
                          </w:r>
                          <w:r>
                            <w:rPr>
                              <w:rFonts w:ascii="宋体" w:hAnsi="宋体" w:eastAsia="宋体" w:cs="Times New Roman"/>
                              <w:kern w:val="2"/>
                              <w:sz w:val="28"/>
                              <w:szCs w:val="28"/>
                              <w:lang w:val="zh-CN" w:eastAsia="zh-CN" w:bidi="ar-SA"/>
                            </w:rPr>
                            <w:t>17</w:t>
                          </w:r>
                          <w:r>
                            <w:rPr>
                              <w:rFonts w:ascii="宋体" w:hAnsi="宋体" w:eastAsia="宋体" w:cs="Times New Roman"/>
                              <w:kern w:val="2"/>
                              <w:sz w:val="28"/>
                              <w:szCs w:val="28"/>
                              <w:lang w:val="en-US" w:eastAsia="zh-CN" w:bidi="ar-SA"/>
                            </w:rPr>
                            <w:fldChar w:fldCharType="end"/>
                          </w:r>
                          <w:r>
                            <w:rPr>
                              <w:rFonts w:hint="eastAsia" w:ascii="宋体" w:hAnsi="宋体" w:eastAsia="宋体" w:cs="Times New Roman"/>
                              <w:kern w:val="2"/>
                              <w:sz w:val="28"/>
                              <w:szCs w:val="28"/>
                              <w:lang w:val="en-US" w:eastAsia="zh-CN" w:bidi="ar-SA"/>
                            </w:rPr>
                            <w:t>—</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3ViRyQEAAJkDAAAOAAAAAAAAAAEAIAAAAB4BAABkcnMvZTJvRG9j&#10;LnhtbFBLBQYAAAAABgAGAFkBAABZBQAAAAA=&#10;">
              <v:fill on="f" focussize="0,0"/>
              <v:stroke on="f"/>
              <v:imagedata o:title=""/>
              <o:lock v:ext="edit" aspectratio="f"/>
              <v:textbox inset="0mm,0mm,0mm,0mm" style="mso-fit-shape-to-text:t;">
                <w:txbxContent>
                  <w:p>
                    <w:pPr>
                      <w:widowControl w:val="0"/>
                      <w:tabs>
                        <w:tab w:val="center" w:pos="4153"/>
                        <w:tab w:val="right" w:pos="8306"/>
                      </w:tabs>
                      <w:snapToGrid w:val="0"/>
                      <w:ind w:left="420" w:leftChars="200" w:right="420" w:rightChars="200"/>
                      <w:jc w:val="right"/>
                      <w:rPr>
                        <w:rFonts w:ascii="Times New Roman" w:hAnsi="Times New Roman" w:eastAsia="宋体" w:cs="Times New Roman"/>
                        <w:kern w:val="2"/>
                        <w:sz w:val="18"/>
                        <w:szCs w:val="18"/>
                        <w:lang w:val="en-US" w:eastAsia="zh-CN" w:bidi="ar-SA"/>
                      </w:rPr>
                    </w:pPr>
                    <w:r>
                      <w:rPr>
                        <w:rFonts w:hint="eastAsia" w:ascii="宋体" w:hAnsi="宋体" w:eastAsia="宋体" w:cs="Times New Roman"/>
                        <w:kern w:val="2"/>
                        <w:sz w:val="28"/>
                        <w:szCs w:val="28"/>
                        <w:lang w:val="en-US" w:eastAsia="zh-CN" w:bidi="ar-SA"/>
                      </w:rPr>
                      <w:t>—</w:t>
                    </w:r>
                    <w:r>
                      <w:rPr>
                        <w:rFonts w:ascii="宋体" w:hAnsi="宋体" w:eastAsia="宋体" w:cs="Times New Roman"/>
                        <w:kern w:val="2"/>
                        <w:sz w:val="28"/>
                        <w:szCs w:val="28"/>
                        <w:lang w:val="en-US" w:eastAsia="zh-CN" w:bidi="ar-SA"/>
                      </w:rPr>
                      <w:fldChar w:fldCharType="begin"/>
                    </w:r>
                    <w:r>
                      <w:rPr>
                        <w:rFonts w:ascii="宋体" w:hAnsi="宋体" w:eastAsia="宋体" w:cs="Times New Roman"/>
                        <w:kern w:val="2"/>
                        <w:sz w:val="28"/>
                        <w:szCs w:val="28"/>
                        <w:lang w:val="en-US" w:eastAsia="zh-CN" w:bidi="ar-SA"/>
                      </w:rPr>
                      <w:instrText xml:space="preserve">PAGE   \* MERGEFORMAT</w:instrText>
                    </w:r>
                    <w:r>
                      <w:rPr>
                        <w:rFonts w:ascii="宋体" w:hAnsi="宋体" w:eastAsia="宋体" w:cs="Times New Roman"/>
                        <w:kern w:val="2"/>
                        <w:sz w:val="28"/>
                        <w:szCs w:val="28"/>
                        <w:lang w:val="en-US" w:eastAsia="zh-CN" w:bidi="ar-SA"/>
                      </w:rPr>
                      <w:fldChar w:fldCharType="separate"/>
                    </w:r>
                    <w:r>
                      <w:rPr>
                        <w:rFonts w:ascii="宋体" w:hAnsi="宋体" w:eastAsia="宋体" w:cs="Times New Roman"/>
                        <w:kern w:val="2"/>
                        <w:sz w:val="28"/>
                        <w:szCs w:val="28"/>
                        <w:lang w:val="zh-CN" w:eastAsia="zh-CN" w:bidi="ar-SA"/>
                      </w:rPr>
                      <w:t>17</w:t>
                    </w:r>
                    <w:r>
                      <w:rPr>
                        <w:rFonts w:ascii="宋体" w:hAnsi="宋体" w:eastAsia="宋体" w:cs="Times New Roman"/>
                        <w:kern w:val="2"/>
                        <w:sz w:val="28"/>
                        <w:szCs w:val="28"/>
                        <w:lang w:val="en-US" w:eastAsia="zh-CN" w:bidi="ar-SA"/>
                      </w:rPr>
                      <w:fldChar w:fldCharType="end"/>
                    </w:r>
                    <w:r>
                      <w:rPr>
                        <w:rFonts w:hint="eastAsia" w:ascii="宋体" w:hAnsi="宋体" w:eastAsia="宋体" w:cs="Times New Roman"/>
                        <w:kern w:val="2"/>
                        <w:sz w:val="28"/>
                        <w:szCs w:val="28"/>
                        <w:lang w:val="en-US" w:eastAsia="zh-CN" w:bidi="ar-SA"/>
                      </w:rPr>
                      <w:t>—</w:t>
                    </w:r>
                  </w:p>
                </w:txbxContent>
              </v:textbox>
            </v:shape>
          </w:pict>
        </mc:Fallback>
      </mc:AlternateContent>
    </w:r>
  </w:p>
  <w:p>
    <w:pPr>
      <w:widowControl w:val="0"/>
      <w:tabs>
        <w:tab w:val="center" w:pos="4153"/>
        <w:tab w:val="right" w:pos="8306"/>
      </w:tabs>
      <w:snapToGrid w:val="0"/>
      <w:ind w:right="360"/>
      <w:jc w:val="left"/>
      <w:rPr>
        <w:rFonts w:ascii="Times New Roman" w:hAnsi="Times New Roman" w:eastAsia="宋体" w:cs="Times New Roman"/>
        <w:kern w:val="2"/>
        <w:sz w:val="18"/>
        <w:szCs w:val="18"/>
        <w:lang w:val="en-US" w:eastAsia="zh-CN"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tabs>
        <w:tab w:val="center" w:pos="4153"/>
        <w:tab w:val="right" w:pos="8306"/>
      </w:tabs>
      <w:snapToGrid w:val="0"/>
      <w:ind w:left="420" w:leftChars="200" w:right="420" w:rightChars="200"/>
      <w:jc w:val="left"/>
      <w:rPr>
        <w:rFonts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w:t>
    </w:r>
    <w:r>
      <w:rPr>
        <w:rFonts w:ascii="宋体" w:hAnsi="宋体" w:eastAsia="宋体" w:cs="Times New Roman"/>
        <w:kern w:val="2"/>
        <w:sz w:val="28"/>
        <w:szCs w:val="28"/>
        <w:lang w:val="en-US" w:eastAsia="zh-CN" w:bidi="ar-SA"/>
      </w:rPr>
      <w:fldChar w:fldCharType="begin"/>
    </w:r>
    <w:r>
      <w:rPr>
        <w:rFonts w:ascii="宋体" w:hAnsi="宋体" w:eastAsia="宋体" w:cs="Times New Roman"/>
        <w:kern w:val="2"/>
        <w:sz w:val="28"/>
        <w:szCs w:val="28"/>
        <w:lang w:val="en-US" w:eastAsia="zh-CN" w:bidi="ar-SA"/>
      </w:rPr>
      <w:instrText xml:space="preserve">PAGE   \* MERGEFORMAT</w:instrText>
    </w:r>
    <w:r>
      <w:rPr>
        <w:rFonts w:ascii="宋体" w:hAnsi="宋体" w:eastAsia="宋体" w:cs="Times New Roman"/>
        <w:kern w:val="2"/>
        <w:sz w:val="28"/>
        <w:szCs w:val="28"/>
        <w:lang w:val="en-US" w:eastAsia="zh-CN" w:bidi="ar-SA"/>
      </w:rPr>
      <w:fldChar w:fldCharType="separate"/>
    </w:r>
    <w:r>
      <w:rPr>
        <w:rFonts w:ascii="宋体" w:hAnsi="宋体" w:eastAsia="宋体" w:cs="Times New Roman"/>
        <w:kern w:val="2"/>
        <w:sz w:val="28"/>
        <w:szCs w:val="28"/>
        <w:lang w:val="zh-CN" w:eastAsia="zh-CN" w:bidi="ar-SA"/>
      </w:rPr>
      <w:t>28</w:t>
    </w:r>
    <w:r>
      <w:rPr>
        <w:rFonts w:ascii="宋体" w:hAnsi="宋体" w:eastAsia="宋体" w:cs="Times New Roman"/>
        <w:kern w:val="2"/>
        <w:sz w:val="28"/>
        <w:szCs w:val="28"/>
        <w:lang w:val="en-US" w:eastAsia="zh-CN" w:bidi="ar-SA"/>
      </w:rPr>
      <w:fldChar w:fldCharType="end"/>
    </w:r>
    <w:r>
      <w:rPr>
        <w:rFonts w:hint="eastAsia" w:ascii="宋体" w:hAnsi="宋体" w:eastAsia="宋体" w:cs="Times New Roman"/>
        <w:kern w:val="2"/>
        <w:sz w:val="28"/>
        <w:szCs w:val="28"/>
        <w:lang w:val="en-US" w:eastAsia="zh-CN" w:bidi="ar-SA"/>
      </w:rPr>
      <w:t>—</w:t>
    </w:r>
  </w:p>
  <w:p>
    <w:pPr>
      <w:widowControl w:val="0"/>
      <w:tabs>
        <w:tab w:val="center" w:pos="4153"/>
        <w:tab w:val="right" w:pos="8306"/>
      </w:tabs>
      <w:snapToGrid w:val="0"/>
      <w:ind w:right="360"/>
      <w:jc w:val="left"/>
      <w:rPr>
        <w:rFonts w:ascii="Times New Roman" w:hAnsi="Times New Roman" w:eastAsia="宋体" w:cs="Times New Roman"/>
        <w:kern w:val="2"/>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tabs>
        <w:tab w:val="center" w:pos="4153"/>
        <w:tab w:val="right" w:pos="8306"/>
      </w:tabs>
      <w:snapToGrid w:val="0"/>
      <w:ind w:left="420" w:leftChars="200" w:right="420" w:rightChars="200"/>
      <w:jc w:val="right"/>
      <w:rPr>
        <w:rFonts w:ascii="宋体" w:hAnsi="宋体" w:eastAsia="宋体" w:cs="Times New Roman"/>
        <w:kern w:val="2"/>
        <w:sz w:val="28"/>
        <w:szCs w:val="28"/>
        <w:lang w:val="en-US" w:eastAsia="zh-CN" w:bidi="ar-SA"/>
      </w:rPr>
    </w:pPr>
    <w:r>
      <w:rPr>
        <w:rFonts w:ascii="Times New Roman" w:hAnsi="Times New Roman" w:eastAsia="宋体" w:cs="Times New Roman"/>
        <w:kern w:val="2"/>
        <w:sz w:val="28"/>
        <w:szCs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widowControl w:val="0"/>
                            <w:tabs>
                              <w:tab w:val="center" w:pos="4153"/>
                              <w:tab w:val="right" w:pos="8306"/>
                            </w:tabs>
                            <w:snapToGrid w:val="0"/>
                            <w:ind w:left="420" w:leftChars="200" w:right="420" w:rightChars="200"/>
                            <w:jc w:val="right"/>
                            <w:rPr>
                              <w:rFonts w:ascii="Times New Roman" w:hAnsi="Times New Roman" w:eastAsia="宋体" w:cs="Times New Roman"/>
                              <w:kern w:val="2"/>
                              <w:sz w:val="18"/>
                              <w:szCs w:val="18"/>
                              <w:lang w:val="en-US" w:eastAsia="zh-CN" w:bidi="ar-SA"/>
                            </w:rPr>
                          </w:pPr>
                          <w:r>
                            <w:rPr>
                              <w:rFonts w:hint="eastAsia" w:ascii="宋体" w:hAnsi="宋体" w:eastAsia="宋体" w:cs="Times New Roman"/>
                              <w:kern w:val="2"/>
                              <w:sz w:val="28"/>
                              <w:szCs w:val="28"/>
                              <w:lang w:val="en-US" w:eastAsia="zh-CN" w:bidi="ar-SA"/>
                            </w:rPr>
                            <w:t>—</w:t>
                          </w:r>
                          <w:r>
                            <w:rPr>
                              <w:rFonts w:ascii="宋体" w:hAnsi="宋体" w:eastAsia="宋体" w:cs="Times New Roman"/>
                              <w:kern w:val="2"/>
                              <w:sz w:val="28"/>
                              <w:szCs w:val="28"/>
                              <w:lang w:val="en-US" w:eastAsia="zh-CN" w:bidi="ar-SA"/>
                            </w:rPr>
                            <w:fldChar w:fldCharType="begin"/>
                          </w:r>
                          <w:r>
                            <w:rPr>
                              <w:rFonts w:ascii="宋体" w:hAnsi="宋体" w:eastAsia="宋体" w:cs="Times New Roman"/>
                              <w:kern w:val="2"/>
                              <w:sz w:val="28"/>
                              <w:szCs w:val="28"/>
                              <w:lang w:val="en-US" w:eastAsia="zh-CN" w:bidi="ar-SA"/>
                            </w:rPr>
                            <w:instrText xml:space="preserve">PAGE   \* MERGEFORMAT</w:instrText>
                          </w:r>
                          <w:r>
                            <w:rPr>
                              <w:rFonts w:ascii="宋体" w:hAnsi="宋体" w:eastAsia="宋体" w:cs="Times New Roman"/>
                              <w:kern w:val="2"/>
                              <w:sz w:val="28"/>
                              <w:szCs w:val="28"/>
                              <w:lang w:val="en-US" w:eastAsia="zh-CN" w:bidi="ar-SA"/>
                            </w:rPr>
                            <w:fldChar w:fldCharType="separate"/>
                          </w:r>
                          <w:r>
                            <w:rPr>
                              <w:rFonts w:ascii="宋体" w:hAnsi="宋体" w:eastAsia="宋体" w:cs="Times New Roman"/>
                              <w:kern w:val="2"/>
                              <w:sz w:val="28"/>
                              <w:szCs w:val="28"/>
                              <w:lang w:val="zh-CN" w:eastAsia="zh-CN" w:bidi="ar-SA"/>
                            </w:rPr>
                            <w:t>17</w:t>
                          </w:r>
                          <w:r>
                            <w:rPr>
                              <w:rFonts w:ascii="宋体" w:hAnsi="宋体" w:eastAsia="宋体" w:cs="Times New Roman"/>
                              <w:kern w:val="2"/>
                              <w:sz w:val="28"/>
                              <w:szCs w:val="28"/>
                              <w:lang w:val="en-US" w:eastAsia="zh-CN" w:bidi="ar-SA"/>
                            </w:rPr>
                            <w:fldChar w:fldCharType="end"/>
                          </w:r>
                          <w:r>
                            <w:rPr>
                              <w:rFonts w:hint="eastAsia" w:ascii="宋体" w:hAnsi="宋体" w:eastAsia="宋体" w:cs="Times New Roman"/>
                              <w:kern w:val="2"/>
                              <w:sz w:val="28"/>
                              <w:szCs w:val="28"/>
                              <w:lang w:val="en-US" w:eastAsia="zh-CN" w:bidi="ar-SA"/>
                            </w:rPr>
                            <w:t>—</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pPr>
                      <w:widowControl w:val="0"/>
                      <w:tabs>
                        <w:tab w:val="center" w:pos="4153"/>
                        <w:tab w:val="right" w:pos="8306"/>
                      </w:tabs>
                      <w:snapToGrid w:val="0"/>
                      <w:ind w:left="420" w:leftChars="200" w:right="420" w:rightChars="200"/>
                      <w:jc w:val="right"/>
                      <w:rPr>
                        <w:rFonts w:ascii="Times New Roman" w:hAnsi="Times New Roman" w:eastAsia="宋体" w:cs="Times New Roman"/>
                        <w:kern w:val="2"/>
                        <w:sz w:val="18"/>
                        <w:szCs w:val="18"/>
                        <w:lang w:val="en-US" w:eastAsia="zh-CN" w:bidi="ar-SA"/>
                      </w:rPr>
                    </w:pPr>
                    <w:r>
                      <w:rPr>
                        <w:rFonts w:hint="eastAsia" w:ascii="宋体" w:hAnsi="宋体" w:eastAsia="宋体" w:cs="Times New Roman"/>
                        <w:kern w:val="2"/>
                        <w:sz w:val="28"/>
                        <w:szCs w:val="28"/>
                        <w:lang w:val="en-US" w:eastAsia="zh-CN" w:bidi="ar-SA"/>
                      </w:rPr>
                      <w:t>—</w:t>
                    </w:r>
                    <w:r>
                      <w:rPr>
                        <w:rFonts w:ascii="宋体" w:hAnsi="宋体" w:eastAsia="宋体" w:cs="Times New Roman"/>
                        <w:kern w:val="2"/>
                        <w:sz w:val="28"/>
                        <w:szCs w:val="28"/>
                        <w:lang w:val="en-US" w:eastAsia="zh-CN" w:bidi="ar-SA"/>
                      </w:rPr>
                      <w:fldChar w:fldCharType="begin"/>
                    </w:r>
                    <w:r>
                      <w:rPr>
                        <w:rFonts w:ascii="宋体" w:hAnsi="宋体" w:eastAsia="宋体" w:cs="Times New Roman"/>
                        <w:kern w:val="2"/>
                        <w:sz w:val="28"/>
                        <w:szCs w:val="28"/>
                        <w:lang w:val="en-US" w:eastAsia="zh-CN" w:bidi="ar-SA"/>
                      </w:rPr>
                      <w:instrText xml:space="preserve">PAGE   \* MERGEFORMAT</w:instrText>
                    </w:r>
                    <w:r>
                      <w:rPr>
                        <w:rFonts w:ascii="宋体" w:hAnsi="宋体" w:eastAsia="宋体" w:cs="Times New Roman"/>
                        <w:kern w:val="2"/>
                        <w:sz w:val="28"/>
                        <w:szCs w:val="28"/>
                        <w:lang w:val="en-US" w:eastAsia="zh-CN" w:bidi="ar-SA"/>
                      </w:rPr>
                      <w:fldChar w:fldCharType="separate"/>
                    </w:r>
                    <w:r>
                      <w:rPr>
                        <w:rFonts w:ascii="宋体" w:hAnsi="宋体" w:eastAsia="宋体" w:cs="Times New Roman"/>
                        <w:kern w:val="2"/>
                        <w:sz w:val="28"/>
                        <w:szCs w:val="28"/>
                        <w:lang w:val="zh-CN" w:eastAsia="zh-CN" w:bidi="ar-SA"/>
                      </w:rPr>
                      <w:t>17</w:t>
                    </w:r>
                    <w:r>
                      <w:rPr>
                        <w:rFonts w:ascii="宋体" w:hAnsi="宋体" w:eastAsia="宋体" w:cs="Times New Roman"/>
                        <w:kern w:val="2"/>
                        <w:sz w:val="28"/>
                        <w:szCs w:val="28"/>
                        <w:lang w:val="en-US" w:eastAsia="zh-CN" w:bidi="ar-SA"/>
                      </w:rPr>
                      <w:fldChar w:fldCharType="end"/>
                    </w:r>
                    <w:r>
                      <w:rPr>
                        <w:rFonts w:hint="eastAsia" w:ascii="宋体" w:hAnsi="宋体" w:eastAsia="宋体" w:cs="Times New Roman"/>
                        <w:kern w:val="2"/>
                        <w:sz w:val="28"/>
                        <w:szCs w:val="28"/>
                        <w:lang w:val="en-US" w:eastAsia="zh-CN" w:bidi="ar-SA"/>
                      </w:rPr>
                      <w:t>—</w:t>
                    </w:r>
                  </w:p>
                </w:txbxContent>
              </v:textbox>
            </v:shape>
          </w:pict>
        </mc:Fallback>
      </mc:AlternateContent>
    </w:r>
  </w:p>
  <w:p>
    <w:pPr>
      <w:widowControl w:val="0"/>
      <w:tabs>
        <w:tab w:val="center" w:pos="4153"/>
        <w:tab w:val="right" w:pos="8306"/>
      </w:tabs>
      <w:snapToGrid w:val="0"/>
      <w:ind w:right="360"/>
      <w:jc w:val="left"/>
      <w:rPr>
        <w:rFonts w:ascii="Times New Roman" w:hAnsi="Times New Roman" w:eastAsia="宋体" w:cs="Times New Roman"/>
        <w:kern w:val="2"/>
        <w:sz w:val="18"/>
        <w:szCs w:val="18"/>
        <w:lang w:val="en-US" w:eastAsia="zh-CN" w:bidi="ar-SA"/>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Bdr>
        <w:bottom w:val="none" w:color="auto" w:sz="0" w:space="0"/>
      </w:pBdr>
      <w:tabs>
        <w:tab w:val="center" w:pos="4153"/>
        <w:tab w:val="right" w:pos="8306"/>
      </w:tabs>
      <w:snapToGrid w:val="0"/>
      <w:jc w:val="center"/>
      <w:rPr>
        <w:rFonts w:ascii="Times New Roman" w:hAnsi="Times New Roman" w:eastAsia="宋体" w:cs="Times New Roman"/>
        <w:kern w:val="2"/>
        <w:sz w:val="18"/>
        <w:szCs w:val="18"/>
        <w:lang w:val="en-US" w:eastAsia="zh-CN" w:bidi="ar-S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E08B"/>
    <w:multiLevelType w:val="singleLevel"/>
    <w:tmpl w:val="A74BE08B"/>
    <w:lvl w:ilvl="0" w:tentative="0">
      <w:start w:val="2"/>
      <w:numFmt w:val="decimal"/>
      <w:suff w:val="nothing"/>
      <w:lvlText w:val="（%1）"/>
      <w:lvlJc w:val="left"/>
    </w:lvl>
  </w:abstractNum>
  <w:abstractNum w:abstractNumId="1">
    <w:nsid w:val="112AB1E1"/>
    <w:multiLevelType w:val="singleLevel"/>
    <w:tmpl w:val="112AB1E1"/>
    <w:lvl w:ilvl="0" w:tentative="0">
      <w:start w:val="1"/>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07A29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2023-01-31T08:04:05Z</dcterms:created>
  <dc:creator>user</dc:creator>
  <cp:lastModifiedBy>TQueen</cp:lastModifiedBy>
  <dcterms:modified xsi:type="dcterms:W3CDTF">2023-01-31T08:08:13Z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BF5E81E750DB4917B9EDD10EFECB6EE9</vt:lpwstr>
  </property>
</Properties>
</file>