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ED091D" w14:textId="55575E0C" w:rsidR="0085757D" w:rsidRPr="0085757D" w:rsidRDefault="0085757D" w:rsidP="00A361D2">
      <w:pPr>
        <w:spacing w:line="578" w:lineRule="exact"/>
        <w:rPr>
          <w:rFonts w:ascii="黑体" w:eastAsia="黑体" w:hAnsi="黑体" w:cs="Times New Roman"/>
          <w:sz w:val="32"/>
          <w:szCs w:val="32"/>
        </w:rPr>
      </w:pPr>
      <w:r w:rsidRPr="0085757D">
        <w:rPr>
          <w:rFonts w:ascii="黑体" w:eastAsia="黑体" w:hAnsi="黑体" w:cs="Times New Roman"/>
          <w:sz w:val="32"/>
          <w:szCs w:val="32"/>
        </w:rPr>
        <w:t>附</w:t>
      </w:r>
      <w:r w:rsidRPr="0085757D">
        <w:rPr>
          <w:rFonts w:ascii="黑体" w:eastAsia="黑体" w:hAnsi="黑体" w:cs="Times New Roman" w:hint="eastAsia"/>
          <w:sz w:val="32"/>
          <w:szCs w:val="32"/>
        </w:rPr>
        <w:t>件</w:t>
      </w:r>
      <w:r w:rsidR="009B265A">
        <w:rPr>
          <w:rFonts w:ascii="黑体" w:eastAsia="黑体" w:hAnsi="黑体" w:cs="Times New Roman"/>
          <w:sz w:val="32"/>
          <w:szCs w:val="32"/>
        </w:rPr>
        <w:t>2</w:t>
      </w:r>
    </w:p>
    <w:p w14:paraId="1C84BB30" w14:textId="77777777" w:rsidR="0085757D" w:rsidRPr="0085757D" w:rsidRDefault="0085757D" w:rsidP="00A361D2">
      <w:pPr>
        <w:spacing w:line="578" w:lineRule="exact"/>
        <w:jc w:val="center"/>
        <w:rPr>
          <w:rFonts w:ascii="方正小标宋_GBK" w:eastAsia="方正小标宋_GBK" w:hAnsi="Times New Roman" w:cs="Times New Roman"/>
          <w:sz w:val="44"/>
          <w:szCs w:val="44"/>
        </w:rPr>
      </w:pPr>
      <w:r w:rsidRPr="0085757D">
        <w:rPr>
          <w:rFonts w:ascii="方正小标宋_GBK" w:eastAsia="方正小标宋_GBK" w:hAnsi="Times New Roman" w:cs="Times New Roman" w:hint="eastAsia"/>
          <w:sz w:val="44"/>
          <w:szCs w:val="44"/>
        </w:rPr>
        <w:t>职业学校办学条件重点监测指标</w:t>
      </w:r>
    </w:p>
    <w:p w14:paraId="504D5E3A" w14:textId="77777777" w:rsidR="0085757D" w:rsidRPr="00A361D2" w:rsidRDefault="0085757D" w:rsidP="00A361D2">
      <w:pPr>
        <w:spacing w:line="578" w:lineRule="exact"/>
        <w:ind w:firstLine="640"/>
        <w:rPr>
          <w:rFonts w:ascii="黑体" w:eastAsia="黑体" w:hAnsi="黑体" w:cs="Times New Roman"/>
          <w:sz w:val="32"/>
          <w:szCs w:val="32"/>
        </w:rPr>
      </w:pPr>
      <w:r w:rsidRPr="00A361D2">
        <w:rPr>
          <w:rFonts w:ascii="黑体" w:eastAsia="黑体" w:hAnsi="黑体" w:cs="Times New Roman" w:hint="eastAsia"/>
          <w:sz w:val="32"/>
          <w:szCs w:val="32"/>
        </w:rPr>
        <w:t>一、中等职业学校</w:t>
      </w:r>
    </w:p>
    <w:p w14:paraId="4324ACDD" w14:textId="77777777" w:rsidR="0085757D" w:rsidRPr="00A361D2" w:rsidRDefault="0085757D" w:rsidP="00A361D2">
      <w:pPr>
        <w:overflowPunct w:val="0"/>
        <w:spacing w:line="578" w:lineRule="exact"/>
        <w:ind w:firstLine="640"/>
        <w:rPr>
          <w:rFonts w:ascii="仿宋_GB2312" w:eastAsia="仿宋_GB2312" w:hAnsi="Times New Roman" w:cs="Times New Roman"/>
          <w:color w:val="000000"/>
          <w:kern w:val="0"/>
          <w:sz w:val="32"/>
          <w:szCs w:val="32"/>
        </w:rPr>
      </w:pPr>
      <w:r w:rsidRPr="00A361D2">
        <w:rPr>
          <w:rFonts w:ascii="仿宋_GB2312" w:eastAsia="仿宋_GB2312" w:hAnsi="Times New Roman" w:cs="Times New Roman" w:hint="eastAsia"/>
          <w:color w:val="000000"/>
          <w:kern w:val="0"/>
          <w:sz w:val="32"/>
          <w:szCs w:val="32"/>
        </w:rPr>
        <w:t>达标学校范围包括县级以上地方人民政府或者有关部门按照规定权限审批设立招收全日制学生并具有实际办学行为（学校在中等职业学校学生管理信息系统中具有招生资格，技工学校在全国技工院校信息管理系统中具有招生资格）的中等职业学校，不包括附设中职</w:t>
      </w:r>
      <w:proofErr w:type="gramStart"/>
      <w:r w:rsidRPr="00A361D2">
        <w:rPr>
          <w:rFonts w:ascii="仿宋_GB2312" w:eastAsia="仿宋_GB2312" w:hAnsi="Times New Roman" w:cs="Times New Roman" w:hint="eastAsia"/>
          <w:color w:val="000000"/>
          <w:kern w:val="0"/>
          <w:sz w:val="32"/>
          <w:szCs w:val="32"/>
        </w:rPr>
        <w:t>班学校</w:t>
      </w:r>
      <w:proofErr w:type="gramEnd"/>
      <w:r w:rsidRPr="00A361D2">
        <w:rPr>
          <w:rFonts w:ascii="仿宋_GB2312" w:eastAsia="仿宋_GB2312" w:hAnsi="Times New Roman" w:cs="Times New Roman" w:hint="eastAsia"/>
          <w:color w:val="000000"/>
          <w:kern w:val="0"/>
          <w:sz w:val="32"/>
          <w:szCs w:val="32"/>
        </w:rPr>
        <w:t>和2022年（含）以后新设学校。达标分类标准如下。</w:t>
      </w:r>
    </w:p>
    <w:p w14:paraId="7108734C" w14:textId="77777777" w:rsidR="0085757D" w:rsidRPr="00A361D2" w:rsidRDefault="0085757D" w:rsidP="00A361D2">
      <w:pPr>
        <w:spacing w:line="578" w:lineRule="exact"/>
        <w:ind w:firstLine="640"/>
        <w:rPr>
          <w:rFonts w:ascii="仿宋_GB2312" w:eastAsia="仿宋_GB2312" w:hAnsi="Times New Roman" w:cs="Times New Roman"/>
          <w:color w:val="000000"/>
          <w:kern w:val="0"/>
          <w:sz w:val="32"/>
          <w:szCs w:val="32"/>
        </w:rPr>
      </w:pPr>
      <w:r w:rsidRPr="00A361D2">
        <w:rPr>
          <w:rFonts w:ascii="仿宋_GB2312" w:eastAsia="仿宋_GB2312" w:hAnsi="Times New Roman" w:cs="Times New Roman" w:hint="eastAsia"/>
          <w:color w:val="000000"/>
          <w:kern w:val="0"/>
          <w:sz w:val="32"/>
          <w:szCs w:val="32"/>
        </w:rPr>
        <w:t>（一）一般类中职学校。参照《教育部关于印发〈中等职业学校设置标准〉的通知》（教职成〔2010〕12号）的各项标准，并根据教育事业发展优化部分指标释义。重点监测指标4类。</w:t>
      </w:r>
    </w:p>
    <w:p w14:paraId="6C3C22B8"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1.校园建设。校园占地面积不低于40000平方米，生均用地面积指标不少于33平方米。校舍建筑面积不少于24000平方米，生均校舍建筑面积指标不少于20平方米。</w:t>
      </w:r>
    </w:p>
    <w:p w14:paraId="5A0CCD46"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2.教师配备。专任教师不低于60人，师生比达到1：20。</w:t>
      </w:r>
    </w:p>
    <w:p w14:paraId="382BEDF1"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3.仪器设备。仪器设备总值不低于300万元，生均仪器设备值不低于2500元。</w:t>
      </w:r>
    </w:p>
    <w:p w14:paraId="08540587"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4.图书配备。生均图书不少于30册。</w:t>
      </w:r>
    </w:p>
    <w:p w14:paraId="1A64D0C1"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（二）技工学校。以《人力资源和社会保障部关于印发技工院校设置标准（试行）的通知》（</w:t>
      </w:r>
      <w:proofErr w:type="gramStart"/>
      <w:r w:rsidRPr="009B265A">
        <w:rPr>
          <w:rFonts w:ascii="仿宋_GB2312" w:eastAsia="仿宋_GB2312" w:hAnsi="Times New Roman" w:cs="Times New Roman" w:hint="eastAsia"/>
          <w:color w:val="000000" w:themeColor="text1"/>
          <w:kern w:val="0"/>
          <w:sz w:val="32"/>
          <w:szCs w:val="32"/>
        </w:rPr>
        <w:t>人社部</w:t>
      </w:r>
      <w:proofErr w:type="gramEnd"/>
      <w:r w:rsidRPr="009B265A">
        <w:rPr>
          <w:rFonts w:ascii="仿宋_GB2312" w:eastAsia="仿宋_GB2312" w:hAnsi="Times New Roman" w:cs="Times New Roman" w:hint="eastAsia"/>
          <w:color w:val="000000" w:themeColor="text1"/>
          <w:kern w:val="0"/>
          <w:sz w:val="32"/>
          <w:szCs w:val="32"/>
        </w:rPr>
        <w:t>发〔2012〕8号）的各项要求为标准。重点监测指标3类。</w:t>
      </w:r>
    </w:p>
    <w:p w14:paraId="28A9453F"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lastRenderedPageBreak/>
        <w:t>1.校园建设。技工学校校园占地面积不少于30000平方米，校舍建筑面积不少于18000平方米，生均校舍建筑面积不少于20平方米。高级技工学校校园占地面积不少于66000平方米，校舍建筑面积不少于50000平方米。技师学院校园占地面积不少于100000平方米，校舍建筑面积不少于80000平方米。</w:t>
      </w:r>
    </w:p>
    <w:p w14:paraId="00D24028"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2.教师配备。技工学校、高级技工学校学制教育师生比不低于1:20，技师学院学制教育师生比不低于1:18。各类技工学校兼职教师人数不超过教师总数的1/3。</w:t>
      </w:r>
    </w:p>
    <w:p w14:paraId="1CF3EFD6" w14:textId="77777777" w:rsidR="0085757D" w:rsidRPr="009B265A" w:rsidRDefault="0085757D" w:rsidP="00A361D2">
      <w:pPr>
        <w:pStyle w:val="a5"/>
        <w:spacing w:line="578" w:lineRule="exact"/>
        <w:ind w:firstLine="640"/>
        <w:rPr>
          <w:rFonts w:ascii="仿宋_GB2312"/>
          <w:color w:val="000000" w:themeColor="text1"/>
          <w:szCs w:val="32"/>
        </w:rPr>
      </w:pPr>
      <w:r w:rsidRPr="009B265A">
        <w:rPr>
          <w:rFonts w:ascii="仿宋_GB2312" w:hAnsi="Times New Roman" w:cs="Times New Roman" w:hint="eastAsia"/>
          <w:color w:val="000000" w:themeColor="text1"/>
          <w:kern w:val="0"/>
          <w:szCs w:val="32"/>
        </w:rPr>
        <w:t>3.仪器设备。技工学校实习、实验设备总值不少于300万元。高级技工学校实习、实验设备总值不少于1500万元。技师学院实习、实验设备总值不少于4000万元。</w:t>
      </w:r>
    </w:p>
    <w:p w14:paraId="5544AC26"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（三）体育类中职学校。参照《国家体育总局 教育部关于印发〈中等体育运动学校设置标准〉的通知》（体青字〔2011〕88号）中的各项标准，并根据教育事业发展优化部分指标释义。重点监测指标4类。</w:t>
      </w:r>
    </w:p>
    <w:p w14:paraId="468D171E"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1.校园建设。校园占地面积不少于30000平方米，生均用地面积不少于45平方米。教学、训练用房建筑面积不少于25000平方米，生均建筑面积（教学、训练及学生生活用房）不少于24平方米。</w:t>
      </w:r>
    </w:p>
    <w:p w14:paraId="2DBCABDF"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2.教师配备。专职教师应按班级1:2.5—1:3的比例配备。</w:t>
      </w:r>
    </w:p>
    <w:p w14:paraId="3A1A58E9"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3.仪器设备。生均仪器设备值不低于2500元。</w:t>
      </w:r>
    </w:p>
    <w:p w14:paraId="1FD1C6C0"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lastRenderedPageBreak/>
        <w:t>4.图书配备。生均图书不少于30册。</w:t>
      </w:r>
    </w:p>
    <w:p w14:paraId="4DC28100"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（四）艺术类中职学校。以中职国家标准主要监测指标为基础，由省级教育行政部门制定具体标准。</w:t>
      </w:r>
    </w:p>
    <w:p w14:paraId="39DBC141"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五）特殊教育类中职学校。参照《中国残联、教育部关于印发〈残疾人中等职业学校设置标准（试行）〉的通知》（残联发〔2007〕16号）中的各项标准，并根据教育事业发展优化部分指标释义。重点监测指标3类。</w:t>
      </w:r>
    </w:p>
    <w:p w14:paraId="3E91B5CD"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1.校园建设。校园占地面积不少于20000平方米，生均用地面积指标不少于80平方米。校舍建筑面积不少于10000平方米，生均校舍建筑面积指标不少35平方米。</w:t>
      </w:r>
    </w:p>
    <w:p w14:paraId="76F8557B"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2.教师配备。教学班与教职工比例不低于1:5。</w:t>
      </w:r>
    </w:p>
    <w:p w14:paraId="2FF451FC"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3.图书配备。生均图书不少于30册。</w:t>
      </w:r>
    </w:p>
    <w:p w14:paraId="4AFA0597"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（六）边远脱贫地区中职学校。以中职国家标准主要监测指标为基础，相应的办学条件标准可适当放宽，具体标准由省级教育行政部门制定。</w:t>
      </w:r>
    </w:p>
    <w:p w14:paraId="74B551E9" w14:textId="77777777" w:rsidR="0085757D" w:rsidRPr="009B265A" w:rsidRDefault="0085757D" w:rsidP="0085757D">
      <w:pPr>
        <w:jc w:val="center"/>
        <w:rPr>
          <w:rFonts w:ascii="黑体" w:eastAsia="黑体" w:hAnsi="黑体" w:cs="Times New Roman"/>
          <w:color w:val="000000" w:themeColor="text1"/>
          <w:kern w:val="0"/>
          <w:sz w:val="28"/>
          <w:szCs w:val="28"/>
        </w:rPr>
      </w:pPr>
      <w:r w:rsidRPr="009B265A">
        <w:rPr>
          <w:rFonts w:ascii="黑体" w:eastAsia="黑体" w:hAnsi="黑体" w:cs="Times New Roman" w:hint="eastAsia"/>
          <w:color w:val="000000" w:themeColor="text1"/>
          <w:kern w:val="0"/>
          <w:sz w:val="28"/>
          <w:szCs w:val="28"/>
        </w:rPr>
        <w:t>表1：中等职业学校办学条件重点监测</w:t>
      </w:r>
      <w:r w:rsidRPr="009B265A">
        <w:rPr>
          <w:rFonts w:ascii="黑体" w:eastAsia="黑体" w:hAnsi="黑体" w:cs="Times New Roman"/>
          <w:color w:val="000000" w:themeColor="text1"/>
          <w:kern w:val="0"/>
          <w:sz w:val="28"/>
          <w:szCs w:val="28"/>
        </w:rPr>
        <w:t>指标释义</w:t>
      </w:r>
    </w:p>
    <w:tbl>
      <w:tblPr>
        <w:tblW w:w="85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3"/>
        <w:gridCol w:w="1529"/>
        <w:gridCol w:w="1217"/>
        <w:gridCol w:w="2129"/>
        <w:gridCol w:w="2907"/>
      </w:tblGrid>
      <w:tr w:rsidR="009B265A" w:rsidRPr="009B265A" w14:paraId="7C298117" w14:textId="77777777" w:rsidTr="00A47E2D">
        <w:trPr>
          <w:trHeight w:val="471"/>
          <w:tblHeader/>
          <w:jc w:val="center"/>
        </w:trPr>
        <w:tc>
          <w:tcPr>
            <w:tcW w:w="723" w:type="dxa"/>
            <w:tcBorders>
              <w:tl2br w:val="nil"/>
              <w:tr2bl w:val="nil"/>
            </w:tcBorders>
            <w:shd w:val="clear" w:color="auto" w:fill="auto"/>
            <w:vAlign w:val="center"/>
          </w:tcPr>
          <w:p w14:paraId="6B145299" w14:textId="77777777" w:rsidR="0085757D" w:rsidRPr="009B265A" w:rsidRDefault="0085757D" w:rsidP="00A47E2D">
            <w:pPr>
              <w:widowControl/>
              <w:jc w:val="center"/>
              <w:textAlignment w:val="center"/>
              <w:rPr>
                <w:rFonts w:ascii="Times New Roman" w:eastAsia="黑体" w:hAnsi="Times New Roman" w:cs="Times New Roman"/>
                <w:color w:val="000000" w:themeColor="text1"/>
                <w:kern w:val="0"/>
                <w:szCs w:val="21"/>
              </w:rPr>
            </w:pPr>
            <w:r w:rsidRPr="009B265A">
              <w:rPr>
                <w:rFonts w:ascii="Times New Roman" w:eastAsia="黑体" w:hAnsi="黑体" w:cs="Times New Roman"/>
                <w:color w:val="000000" w:themeColor="text1"/>
                <w:kern w:val="0"/>
                <w:szCs w:val="21"/>
              </w:rPr>
              <w:t>序号</w:t>
            </w:r>
          </w:p>
        </w:tc>
        <w:tc>
          <w:tcPr>
            <w:tcW w:w="1529" w:type="dxa"/>
            <w:tcBorders>
              <w:tl2br w:val="nil"/>
              <w:tr2bl w:val="nil"/>
            </w:tcBorders>
            <w:shd w:val="clear" w:color="auto" w:fill="auto"/>
            <w:vAlign w:val="center"/>
          </w:tcPr>
          <w:p w14:paraId="05B1BAA3" w14:textId="77777777" w:rsidR="0085757D" w:rsidRPr="009B265A" w:rsidRDefault="0085757D" w:rsidP="00A47E2D">
            <w:pPr>
              <w:widowControl/>
              <w:jc w:val="center"/>
              <w:textAlignment w:val="center"/>
              <w:rPr>
                <w:rFonts w:ascii="Times New Roman" w:eastAsia="黑体" w:hAnsi="Times New Roman" w:cs="Times New Roman"/>
                <w:color w:val="000000" w:themeColor="text1"/>
                <w:kern w:val="0"/>
                <w:szCs w:val="21"/>
              </w:rPr>
            </w:pPr>
            <w:r w:rsidRPr="009B265A">
              <w:rPr>
                <w:rFonts w:ascii="Times New Roman" w:eastAsia="黑体" w:hAnsi="黑体" w:cs="Times New Roman"/>
                <w:color w:val="000000" w:themeColor="text1"/>
                <w:kern w:val="0"/>
                <w:szCs w:val="21"/>
              </w:rPr>
              <w:t>指标名称</w:t>
            </w:r>
          </w:p>
        </w:tc>
        <w:tc>
          <w:tcPr>
            <w:tcW w:w="1217" w:type="dxa"/>
            <w:tcBorders>
              <w:tl2br w:val="nil"/>
              <w:tr2bl w:val="nil"/>
            </w:tcBorders>
            <w:shd w:val="clear" w:color="auto" w:fill="auto"/>
            <w:noWrap/>
            <w:vAlign w:val="center"/>
          </w:tcPr>
          <w:p w14:paraId="0E51A6DB" w14:textId="77777777" w:rsidR="0085757D" w:rsidRPr="009B265A" w:rsidRDefault="0085757D" w:rsidP="00A47E2D">
            <w:pPr>
              <w:jc w:val="center"/>
              <w:rPr>
                <w:rFonts w:ascii="Times New Roman" w:eastAsia="黑体" w:hAnsi="Times New Roman" w:cs="Times New Roman"/>
                <w:color w:val="000000" w:themeColor="text1"/>
                <w:kern w:val="0"/>
                <w:szCs w:val="21"/>
              </w:rPr>
            </w:pPr>
            <w:r w:rsidRPr="009B265A">
              <w:rPr>
                <w:rFonts w:ascii="Times New Roman" w:eastAsia="黑体" w:hAnsi="黑体" w:cs="Times New Roman"/>
                <w:color w:val="000000" w:themeColor="text1"/>
                <w:kern w:val="0"/>
                <w:szCs w:val="21"/>
              </w:rPr>
              <w:t>单位</w:t>
            </w:r>
          </w:p>
        </w:tc>
        <w:tc>
          <w:tcPr>
            <w:tcW w:w="2129" w:type="dxa"/>
            <w:tcBorders>
              <w:tl2br w:val="nil"/>
              <w:tr2bl w:val="nil"/>
            </w:tcBorders>
            <w:shd w:val="clear" w:color="auto" w:fill="auto"/>
            <w:noWrap/>
            <w:vAlign w:val="center"/>
          </w:tcPr>
          <w:p w14:paraId="6D7AD667" w14:textId="77777777" w:rsidR="0085757D" w:rsidRPr="009B265A" w:rsidRDefault="0085757D" w:rsidP="00A47E2D">
            <w:pPr>
              <w:jc w:val="center"/>
              <w:rPr>
                <w:rFonts w:ascii="Times New Roman" w:eastAsia="黑体" w:hAnsi="Times New Roman" w:cs="Times New Roman"/>
                <w:color w:val="000000" w:themeColor="text1"/>
                <w:szCs w:val="21"/>
              </w:rPr>
            </w:pPr>
            <w:r w:rsidRPr="009B265A">
              <w:rPr>
                <w:rFonts w:ascii="Times New Roman" w:eastAsia="黑体" w:hAnsi="黑体" w:cs="Times New Roman"/>
                <w:color w:val="000000" w:themeColor="text1"/>
                <w:kern w:val="0"/>
                <w:szCs w:val="21"/>
              </w:rPr>
              <w:t>计算公式</w:t>
            </w:r>
          </w:p>
        </w:tc>
        <w:tc>
          <w:tcPr>
            <w:tcW w:w="2907" w:type="dxa"/>
            <w:tcBorders>
              <w:tl2br w:val="nil"/>
              <w:tr2bl w:val="nil"/>
            </w:tcBorders>
            <w:shd w:val="clear" w:color="auto" w:fill="auto"/>
            <w:noWrap/>
            <w:vAlign w:val="center"/>
          </w:tcPr>
          <w:p w14:paraId="1C802C20" w14:textId="77777777" w:rsidR="0085757D" w:rsidRPr="009B265A" w:rsidRDefault="0085757D" w:rsidP="00A47E2D">
            <w:pPr>
              <w:jc w:val="center"/>
              <w:rPr>
                <w:rFonts w:ascii="Times New Roman" w:eastAsia="黑体" w:hAnsi="Times New Roman" w:cs="Times New Roman"/>
                <w:color w:val="000000" w:themeColor="text1"/>
                <w:kern w:val="0"/>
                <w:szCs w:val="21"/>
              </w:rPr>
            </w:pPr>
            <w:r w:rsidRPr="009B265A">
              <w:rPr>
                <w:rFonts w:ascii="Times New Roman" w:eastAsia="黑体" w:hAnsi="黑体" w:cs="Times New Roman"/>
                <w:color w:val="000000" w:themeColor="text1"/>
                <w:kern w:val="0"/>
                <w:szCs w:val="21"/>
              </w:rPr>
              <w:t>注释说明</w:t>
            </w:r>
          </w:p>
        </w:tc>
      </w:tr>
      <w:tr w:rsidR="009B265A" w:rsidRPr="009B265A" w14:paraId="093A6FEA" w14:textId="77777777" w:rsidTr="00A47E2D">
        <w:trPr>
          <w:trHeight w:val="303"/>
          <w:jc w:val="center"/>
        </w:trPr>
        <w:tc>
          <w:tcPr>
            <w:tcW w:w="723" w:type="dxa"/>
            <w:tcBorders>
              <w:tl2br w:val="nil"/>
              <w:tr2bl w:val="nil"/>
            </w:tcBorders>
            <w:shd w:val="clear" w:color="auto" w:fill="auto"/>
            <w:vAlign w:val="center"/>
          </w:tcPr>
          <w:p w14:paraId="5F4A5BC5" w14:textId="77777777" w:rsidR="0085757D" w:rsidRPr="00490CBD" w:rsidRDefault="0085757D" w:rsidP="00A47E2D">
            <w:pPr>
              <w:widowControl/>
              <w:numPr>
                <w:ilvl w:val="0"/>
                <w:numId w:val="1"/>
              </w:numPr>
              <w:ind w:left="0" w:firstLine="0"/>
              <w:textAlignment w:val="center"/>
              <w:rPr>
                <w:rFonts w:ascii="仿宋_GB2312" w:eastAsia="仿宋_GB2312" w:hAnsi="Times New Roman" w:cs="Times New Roman" w:hint="eastAsia"/>
                <w:color w:val="000000" w:themeColor="text1"/>
                <w:szCs w:val="21"/>
              </w:rPr>
            </w:pPr>
          </w:p>
        </w:tc>
        <w:tc>
          <w:tcPr>
            <w:tcW w:w="1529" w:type="dxa"/>
            <w:tcBorders>
              <w:tl2br w:val="nil"/>
              <w:tr2bl w:val="nil"/>
            </w:tcBorders>
            <w:shd w:val="clear" w:color="auto" w:fill="auto"/>
            <w:vAlign w:val="center"/>
          </w:tcPr>
          <w:p w14:paraId="42AF7DB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校园占地面积</w:t>
            </w:r>
          </w:p>
        </w:tc>
        <w:tc>
          <w:tcPr>
            <w:tcW w:w="1217" w:type="dxa"/>
            <w:tcBorders>
              <w:tl2br w:val="nil"/>
              <w:tr2bl w:val="nil"/>
            </w:tcBorders>
            <w:shd w:val="clear" w:color="auto" w:fill="auto"/>
            <w:noWrap/>
            <w:vAlign w:val="center"/>
          </w:tcPr>
          <w:p w14:paraId="6175C312"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Style w:val="font11"/>
                <w:rFonts w:ascii="仿宋_GB2312" w:eastAsia="仿宋_GB2312" w:hAnsi="仿宋_GB2312"/>
                <w:b w:val="0"/>
                <w:bCs w:val="0"/>
                <w:color w:val="000000" w:themeColor="text1"/>
              </w:rPr>
              <w:t>平方米</w:t>
            </w:r>
          </w:p>
        </w:tc>
        <w:tc>
          <w:tcPr>
            <w:tcW w:w="2129" w:type="dxa"/>
            <w:tcBorders>
              <w:tl2br w:val="nil"/>
              <w:tr2bl w:val="nil"/>
            </w:tcBorders>
            <w:shd w:val="clear" w:color="auto" w:fill="auto"/>
            <w:noWrap/>
            <w:vAlign w:val="center"/>
          </w:tcPr>
          <w:p w14:paraId="7DC9663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学校产权校园占地面积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非学校产权独立使用校园占地面积</w:t>
            </w:r>
          </w:p>
        </w:tc>
        <w:tc>
          <w:tcPr>
            <w:tcW w:w="2907" w:type="dxa"/>
            <w:tcBorders>
              <w:tl2br w:val="nil"/>
              <w:tr2bl w:val="nil"/>
            </w:tcBorders>
            <w:shd w:val="clear" w:color="auto" w:fill="auto"/>
            <w:noWrap/>
            <w:vAlign w:val="center"/>
          </w:tcPr>
          <w:p w14:paraId="32638CFF"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学校产权校园占地面积：是指学校具有国家颁发的土地使用权证所占用的土地面积。</w:t>
            </w:r>
          </w:p>
          <w:p w14:paraId="3024E8E1"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非学校产权独立使用校园占地面积：是指学校独立使用，使用年限在一年以上的不属于学校产权的校园占地面积。</w:t>
            </w:r>
          </w:p>
          <w:p w14:paraId="1306DC34"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以上均不含教职工宿舍和相对独立的附属机构</w:t>
            </w:r>
          </w:p>
        </w:tc>
      </w:tr>
      <w:tr w:rsidR="009B265A" w:rsidRPr="009B265A" w14:paraId="47C956DB" w14:textId="77777777" w:rsidTr="00A47E2D">
        <w:trPr>
          <w:trHeight w:val="303"/>
          <w:jc w:val="center"/>
        </w:trPr>
        <w:tc>
          <w:tcPr>
            <w:tcW w:w="723" w:type="dxa"/>
            <w:tcBorders>
              <w:tl2br w:val="nil"/>
              <w:tr2bl w:val="nil"/>
            </w:tcBorders>
            <w:shd w:val="clear" w:color="auto" w:fill="auto"/>
            <w:vAlign w:val="center"/>
          </w:tcPr>
          <w:p w14:paraId="21E42041"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47B61296"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生均用地面积</w:t>
            </w:r>
          </w:p>
        </w:tc>
        <w:tc>
          <w:tcPr>
            <w:tcW w:w="1217" w:type="dxa"/>
            <w:tcBorders>
              <w:tl2br w:val="nil"/>
              <w:tr2bl w:val="nil"/>
            </w:tcBorders>
            <w:shd w:val="clear" w:color="auto" w:fill="auto"/>
            <w:noWrap/>
            <w:vAlign w:val="center"/>
          </w:tcPr>
          <w:p w14:paraId="2EF3EE71"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平方米</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2129" w:type="dxa"/>
            <w:tcBorders>
              <w:tl2br w:val="nil"/>
              <w:tr2bl w:val="nil"/>
            </w:tcBorders>
            <w:shd w:val="clear" w:color="auto" w:fill="auto"/>
            <w:noWrap/>
            <w:vAlign w:val="center"/>
          </w:tcPr>
          <w:p w14:paraId="5F0F38BE"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校园占地面积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kern w:val="0"/>
                <w:szCs w:val="21"/>
              </w:rPr>
              <w:t>在校生数</w:t>
            </w:r>
          </w:p>
        </w:tc>
        <w:tc>
          <w:tcPr>
            <w:tcW w:w="2907" w:type="dxa"/>
            <w:tcBorders>
              <w:tl2br w:val="nil"/>
              <w:tr2bl w:val="nil"/>
            </w:tcBorders>
            <w:shd w:val="clear" w:color="auto" w:fill="auto"/>
            <w:noWrap/>
            <w:vAlign w:val="center"/>
          </w:tcPr>
          <w:p w14:paraId="6600CD1A" w14:textId="77777777" w:rsidR="0085757D" w:rsidRPr="00490CBD" w:rsidRDefault="0085757D" w:rsidP="00A47E2D">
            <w:pPr>
              <w:rPr>
                <w:rFonts w:ascii="仿宋_GB2312" w:eastAsia="仿宋_GB2312" w:hAnsi="Times New Roman" w:cs="Times New Roman" w:hint="eastAsia"/>
                <w:color w:val="000000" w:themeColor="text1"/>
                <w:szCs w:val="21"/>
              </w:rPr>
            </w:pPr>
          </w:p>
        </w:tc>
      </w:tr>
      <w:tr w:rsidR="009B265A" w:rsidRPr="009B265A" w14:paraId="55F4FC48" w14:textId="77777777" w:rsidTr="00A47E2D">
        <w:trPr>
          <w:trHeight w:val="303"/>
          <w:jc w:val="center"/>
        </w:trPr>
        <w:tc>
          <w:tcPr>
            <w:tcW w:w="723" w:type="dxa"/>
            <w:tcBorders>
              <w:tl2br w:val="nil"/>
              <w:tr2bl w:val="nil"/>
            </w:tcBorders>
            <w:shd w:val="clear" w:color="auto" w:fill="auto"/>
            <w:vAlign w:val="center"/>
          </w:tcPr>
          <w:p w14:paraId="1215E56E"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szCs w:val="21"/>
              </w:rPr>
            </w:pPr>
          </w:p>
        </w:tc>
        <w:tc>
          <w:tcPr>
            <w:tcW w:w="1529" w:type="dxa"/>
            <w:tcBorders>
              <w:tl2br w:val="nil"/>
              <w:tr2bl w:val="nil"/>
            </w:tcBorders>
            <w:shd w:val="clear" w:color="auto" w:fill="auto"/>
            <w:vAlign w:val="center"/>
          </w:tcPr>
          <w:p w14:paraId="6D0F6694"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校舍建筑面积</w:t>
            </w:r>
          </w:p>
        </w:tc>
        <w:tc>
          <w:tcPr>
            <w:tcW w:w="1217" w:type="dxa"/>
            <w:tcBorders>
              <w:tl2br w:val="nil"/>
              <w:tr2bl w:val="nil"/>
            </w:tcBorders>
            <w:shd w:val="clear" w:color="auto" w:fill="auto"/>
            <w:noWrap/>
            <w:vAlign w:val="center"/>
          </w:tcPr>
          <w:p w14:paraId="02DF2FC2"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Style w:val="font11"/>
                <w:rFonts w:ascii="仿宋_GB2312" w:eastAsia="仿宋_GB2312" w:hAnsi="仿宋_GB2312"/>
                <w:b w:val="0"/>
                <w:bCs w:val="0"/>
                <w:color w:val="000000" w:themeColor="text1"/>
              </w:rPr>
              <w:t>平方米</w:t>
            </w:r>
          </w:p>
        </w:tc>
        <w:tc>
          <w:tcPr>
            <w:tcW w:w="2129" w:type="dxa"/>
            <w:tcBorders>
              <w:tl2br w:val="nil"/>
              <w:tr2bl w:val="nil"/>
            </w:tcBorders>
            <w:shd w:val="clear" w:color="auto" w:fill="auto"/>
            <w:noWrap/>
            <w:vAlign w:val="center"/>
          </w:tcPr>
          <w:p w14:paraId="4737DFD8"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学校产权校舍建筑面积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非学校产权独立使用校舍建筑面积</w:t>
            </w:r>
          </w:p>
        </w:tc>
        <w:tc>
          <w:tcPr>
            <w:tcW w:w="2907" w:type="dxa"/>
            <w:tcBorders>
              <w:tl2br w:val="nil"/>
              <w:tr2bl w:val="nil"/>
            </w:tcBorders>
            <w:shd w:val="clear" w:color="auto" w:fill="auto"/>
            <w:noWrap/>
            <w:vAlign w:val="center"/>
          </w:tcPr>
          <w:p w14:paraId="45934E6B"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学校产权校舍建筑面积：是指学校拥有产权，已交付使用的校舍建筑面积。</w:t>
            </w:r>
          </w:p>
          <w:p w14:paraId="3F342D65"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非学校产权独立使用校舍建筑面积：是指学校独立使用的不属于学校产权的校舍建筑面积。</w:t>
            </w:r>
          </w:p>
          <w:p w14:paraId="4FBE6351"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以上均不含教职工宿舍和相对独立的附属机构</w:t>
            </w:r>
          </w:p>
        </w:tc>
      </w:tr>
      <w:tr w:rsidR="009B265A" w:rsidRPr="009B265A" w14:paraId="2036736A" w14:textId="77777777" w:rsidTr="00A47E2D">
        <w:trPr>
          <w:trHeight w:val="303"/>
          <w:jc w:val="center"/>
        </w:trPr>
        <w:tc>
          <w:tcPr>
            <w:tcW w:w="723" w:type="dxa"/>
            <w:tcBorders>
              <w:tl2br w:val="nil"/>
              <w:tr2bl w:val="nil"/>
            </w:tcBorders>
            <w:shd w:val="clear" w:color="auto" w:fill="auto"/>
            <w:vAlign w:val="center"/>
          </w:tcPr>
          <w:p w14:paraId="327F388A"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55A8CC90"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生均校舍建筑面积</w:t>
            </w:r>
          </w:p>
        </w:tc>
        <w:tc>
          <w:tcPr>
            <w:tcW w:w="1217" w:type="dxa"/>
            <w:tcBorders>
              <w:tl2br w:val="nil"/>
              <w:tr2bl w:val="nil"/>
            </w:tcBorders>
            <w:shd w:val="clear" w:color="auto" w:fill="auto"/>
            <w:noWrap/>
            <w:vAlign w:val="center"/>
          </w:tcPr>
          <w:p w14:paraId="47BCA6A0"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平方米</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2129" w:type="dxa"/>
            <w:tcBorders>
              <w:tl2br w:val="nil"/>
              <w:tr2bl w:val="nil"/>
            </w:tcBorders>
            <w:shd w:val="clear" w:color="auto" w:fill="auto"/>
            <w:noWrap/>
            <w:vAlign w:val="center"/>
          </w:tcPr>
          <w:p w14:paraId="2B511AB3"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校舍建筑面积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kern w:val="0"/>
                <w:szCs w:val="21"/>
              </w:rPr>
              <w:t>在校生数</w:t>
            </w:r>
          </w:p>
        </w:tc>
        <w:tc>
          <w:tcPr>
            <w:tcW w:w="2907" w:type="dxa"/>
            <w:tcBorders>
              <w:tl2br w:val="nil"/>
              <w:tr2bl w:val="nil"/>
            </w:tcBorders>
            <w:shd w:val="clear" w:color="auto" w:fill="auto"/>
            <w:noWrap/>
            <w:vAlign w:val="center"/>
          </w:tcPr>
          <w:p w14:paraId="6179FEF2" w14:textId="77777777" w:rsidR="0085757D" w:rsidRPr="00490CBD" w:rsidRDefault="0085757D" w:rsidP="00A47E2D">
            <w:pPr>
              <w:rPr>
                <w:rFonts w:ascii="仿宋_GB2312" w:eastAsia="仿宋_GB2312" w:hAnsi="Times New Roman" w:cs="Times New Roman" w:hint="eastAsia"/>
                <w:color w:val="000000" w:themeColor="text1"/>
                <w:szCs w:val="21"/>
              </w:rPr>
            </w:pPr>
          </w:p>
        </w:tc>
      </w:tr>
      <w:tr w:rsidR="009B265A" w:rsidRPr="009B265A" w14:paraId="1F1D4297" w14:textId="77777777" w:rsidTr="00A47E2D">
        <w:trPr>
          <w:trHeight w:val="303"/>
          <w:jc w:val="center"/>
        </w:trPr>
        <w:tc>
          <w:tcPr>
            <w:tcW w:w="723" w:type="dxa"/>
            <w:tcBorders>
              <w:tl2br w:val="nil"/>
              <w:tr2bl w:val="nil"/>
            </w:tcBorders>
            <w:shd w:val="clear" w:color="auto" w:fill="auto"/>
            <w:vAlign w:val="center"/>
          </w:tcPr>
          <w:p w14:paraId="63F679C1"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01A9CF90"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专任教师数</w:t>
            </w:r>
          </w:p>
        </w:tc>
        <w:tc>
          <w:tcPr>
            <w:tcW w:w="1217" w:type="dxa"/>
            <w:tcBorders>
              <w:tl2br w:val="nil"/>
              <w:tr2bl w:val="nil"/>
            </w:tcBorders>
            <w:shd w:val="clear" w:color="auto" w:fill="auto"/>
            <w:noWrap/>
            <w:vAlign w:val="center"/>
          </w:tcPr>
          <w:p w14:paraId="6A8C70BF" w14:textId="77777777" w:rsidR="0085757D" w:rsidRPr="00490CBD" w:rsidRDefault="0085757D" w:rsidP="00A47E2D">
            <w:pPr>
              <w:jc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人</w:t>
            </w:r>
          </w:p>
        </w:tc>
        <w:tc>
          <w:tcPr>
            <w:tcW w:w="2129" w:type="dxa"/>
            <w:tcBorders>
              <w:tl2br w:val="nil"/>
              <w:tr2bl w:val="nil"/>
            </w:tcBorders>
            <w:shd w:val="clear" w:color="auto" w:fill="auto"/>
            <w:noWrap/>
            <w:vAlign w:val="center"/>
          </w:tcPr>
          <w:p w14:paraId="28CE3A63"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专任教师数</w:t>
            </w:r>
          </w:p>
        </w:tc>
        <w:tc>
          <w:tcPr>
            <w:tcW w:w="2907" w:type="dxa"/>
            <w:tcBorders>
              <w:tl2br w:val="nil"/>
              <w:tr2bl w:val="nil"/>
            </w:tcBorders>
            <w:shd w:val="clear" w:color="auto" w:fill="auto"/>
            <w:noWrap/>
            <w:vAlign w:val="center"/>
          </w:tcPr>
          <w:p w14:paraId="0AA2B598"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专任教师：是指在学校专职从事教学工作的人员</w:t>
            </w:r>
          </w:p>
        </w:tc>
      </w:tr>
      <w:tr w:rsidR="009B265A" w:rsidRPr="009B265A" w14:paraId="28BB099D" w14:textId="77777777" w:rsidTr="00A47E2D">
        <w:trPr>
          <w:trHeight w:val="303"/>
          <w:jc w:val="center"/>
        </w:trPr>
        <w:tc>
          <w:tcPr>
            <w:tcW w:w="723" w:type="dxa"/>
            <w:tcBorders>
              <w:tl2br w:val="nil"/>
              <w:tr2bl w:val="nil"/>
            </w:tcBorders>
            <w:shd w:val="clear" w:color="auto" w:fill="auto"/>
            <w:vAlign w:val="center"/>
          </w:tcPr>
          <w:p w14:paraId="40906170"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7DF6E392"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师生比</w:t>
            </w:r>
          </w:p>
        </w:tc>
        <w:tc>
          <w:tcPr>
            <w:tcW w:w="1217" w:type="dxa"/>
            <w:tcBorders>
              <w:tl2br w:val="nil"/>
              <w:tr2bl w:val="nil"/>
            </w:tcBorders>
            <w:shd w:val="clear" w:color="auto" w:fill="auto"/>
            <w:noWrap/>
            <w:vAlign w:val="center"/>
          </w:tcPr>
          <w:p w14:paraId="038548BC" w14:textId="77777777" w:rsidR="0085757D" w:rsidRPr="00490CBD" w:rsidRDefault="0085757D" w:rsidP="00A47E2D">
            <w:pPr>
              <w:jc w:val="center"/>
              <w:rPr>
                <w:rFonts w:ascii="仿宋_GB2312" w:eastAsia="仿宋_GB2312" w:hAnsi="Times New Roman" w:cs="Times New Roman" w:hint="eastAsia"/>
                <w:color w:val="000000" w:themeColor="text1"/>
                <w:kern w:val="0"/>
                <w:szCs w:val="21"/>
              </w:rPr>
            </w:pPr>
            <w:r w:rsidRPr="00490CBD">
              <w:rPr>
                <w:rFonts w:ascii="仿宋_GB2312" w:eastAsia="仿宋_GB2312" w:hAnsi="Times New Roman" w:cs="Times New Roman" w:hint="eastAsia"/>
                <w:color w:val="000000" w:themeColor="text1"/>
                <w:szCs w:val="21"/>
              </w:rPr>
              <w:t>——</w:t>
            </w:r>
          </w:p>
        </w:tc>
        <w:tc>
          <w:tcPr>
            <w:tcW w:w="2129" w:type="dxa"/>
            <w:tcBorders>
              <w:tl2br w:val="nil"/>
              <w:tr2bl w:val="nil"/>
            </w:tcBorders>
            <w:shd w:val="clear" w:color="auto" w:fill="auto"/>
            <w:noWrap/>
            <w:vAlign w:val="center"/>
          </w:tcPr>
          <w:p w14:paraId="2B440EF8"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折合教师数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kern w:val="0"/>
                <w:szCs w:val="21"/>
              </w:rPr>
              <w:t>在校生数</w:t>
            </w:r>
          </w:p>
        </w:tc>
        <w:tc>
          <w:tcPr>
            <w:tcW w:w="2907" w:type="dxa"/>
            <w:tcBorders>
              <w:tl2br w:val="nil"/>
              <w:tr2bl w:val="nil"/>
            </w:tcBorders>
            <w:shd w:val="clear" w:color="auto" w:fill="auto"/>
            <w:noWrap/>
            <w:vAlign w:val="center"/>
          </w:tcPr>
          <w:p w14:paraId="6CFEFC2F"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折合教师数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专任教师数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校外教师数</w:t>
            </w:r>
            <w:r w:rsidRPr="00490CBD">
              <w:rPr>
                <w:rFonts w:ascii="仿宋_GB2312" w:eastAsia="仿宋_GB2312" w:hAnsi="Times New Roman" w:cs="Times New Roman" w:hint="eastAsia"/>
                <w:color w:val="000000" w:themeColor="text1"/>
                <w:szCs w:val="21"/>
              </w:rPr>
              <w:t>*0.5+</w:t>
            </w:r>
            <w:r w:rsidRPr="00490CBD">
              <w:rPr>
                <w:rFonts w:ascii="仿宋_GB2312" w:eastAsia="仿宋_GB2312" w:hAnsi="仿宋_GB2312" w:cs="Times New Roman" w:hint="eastAsia"/>
                <w:color w:val="000000" w:themeColor="text1"/>
                <w:szCs w:val="21"/>
              </w:rPr>
              <w:t>行业导师数</w:t>
            </w:r>
            <w:r w:rsidRPr="00490CBD">
              <w:rPr>
                <w:rFonts w:ascii="仿宋_GB2312" w:eastAsia="仿宋_GB2312" w:hAnsi="Times New Roman" w:cs="Times New Roman" w:hint="eastAsia"/>
                <w:color w:val="000000" w:themeColor="text1"/>
                <w:szCs w:val="21"/>
              </w:rPr>
              <w:t>*0.5+</w:t>
            </w:r>
            <w:r w:rsidRPr="00490CBD">
              <w:rPr>
                <w:rFonts w:ascii="仿宋_GB2312" w:eastAsia="仿宋_GB2312" w:hAnsi="仿宋_GB2312" w:cs="Times New Roman" w:hint="eastAsia"/>
                <w:color w:val="000000" w:themeColor="text1"/>
                <w:szCs w:val="21"/>
              </w:rPr>
              <w:t>外籍教师数。</w:t>
            </w:r>
          </w:p>
          <w:p w14:paraId="0D1D8AD8"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外教师：是指聘请外校或外单位具有《中华人民共和国教师法》《教师资格条例》规定的中等职业学校、高等教育学校教师资格，聘期在一学期以上，从事教学工作的人员。包括其他学校退休教师和本校退休教师。</w:t>
            </w:r>
          </w:p>
          <w:p w14:paraId="41642602"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行业导师：是指学校按照聘用流程，聘请的校外行业、企事业单位、科研机构等无教师</w:t>
            </w:r>
            <w:proofErr w:type="gramStart"/>
            <w:r w:rsidRPr="00490CBD">
              <w:rPr>
                <w:rFonts w:ascii="仿宋_GB2312" w:eastAsia="仿宋_GB2312" w:hAnsi="仿宋_GB2312" w:cs="Times New Roman" w:hint="eastAsia"/>
                <w:color w:val="000000" w:themeColor="text1"/>
                <w:szCs w:val="21"/>
              </w:rPr>
              <w:t>资格证但参与</w:t>
            </w:r>
            <w:proofErr w:type="gramEnd"/>
            <w:r w:rsidRPr="00490CBD">
              <w:rPr>
                <w:rFonts w:ascii="仿宋_GB2312" w:eastAsia="仿宋_GB2312" w:hAnsi="仿宋_GB2312" w:cs="Times New Roman" w:hint="eastAsia"/>
                <w:color w:val="000000" w:themeColor="text1"/>
                <w:szCs w:val="21"/>
              </w:rPr>
              <w:t>协助教学工作的高技能人才，聘期为一学期及以上。</w:t>
            </w:r>
          </w:p>
          <w:p w14:paraId="3A12F4A4"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外籍教师：是指由学校聘任、取得外国人来华工作许可和工作类居留证件、在学校从事教育教学工作的外籍人员。</w:t>
            </w:r>
          </w:p>
          <w:p w14:paraId="0440103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聘请校外教师和行业导师经折算后计入教师总数，原则上聘请校外教师和行业导师总</w:t>
            </w:r>
            <w:r w:rsidRPr="00490CBD">
              <w:rPr>
                <w:rFonts w:ascii="仿宋_GB2312" w:eastAsia="仿宋_GB2312" w:hAnsi="仿宋_GB2312" w:cs="Times New Roman" w:hint="eastAsia"/>
                <w:color w:val="000000" w:themeColor="text1"/>
                <w:szCs w:val="21"/>
              </w:rPr>
              <w:lastRenderedPageBreak/>
              <w:t>数不超过专任教师总数的四分之一</w:t>
            </w:r>
          </w:p>
        </w:tc>
      </w:tr>
      <w:tr w:rsidR="009B265A" w:rsidRPr="009B265A" w14:paraId="2016D16A" w14:textId="77777777" w:rsidTr="00A47E2D">
        <w:trPr>
          <w:trHeight w:val="303"/>
          <w:jc w:val="center"/>
        </w:trPr>
        <w:tc>
          <w:tcPr>
            <w:tcW w:w="723" w:type="dxa"/>
            <w:tcBorders>
              <w:tl2br w:val="nil"/>
              <w:tr2bl w:val="nil"/>
            </w:tcBorders>
            <w:shd w:val="clear" w:color="auto" w:fill="auto"/>
            <w:vAlign w:val="center"/>
          </w:tcPr>
          <w:p w14:paraId="2A6C9AA3"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23752773"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仪器设备值</w:t>
            </w:r>
          </w:p>
        </w:tc>
        <w:tc>
          <w:tcPr>
            <w:tcW w:w="1217" w:type="dxa"/>
            <w:tcBorders>
              <w:tl2br w:val="nil"/>
              <w:tr2bl w:val="nil"/>
            </w:tcBorders>
            <w:shd w:val="clear" w:color="auto" w:fill="auto"/>
            <w:noWrap/>
            <w:vAlign w:val="center"/>
          </w:tcPr>
          <w:p w14:paraId="60771E26" w14:textId="77777777" w:rsidR="0085757D" w:rsidRPr="00490CBD" w:rsidRDefault="0085757D" w:rsidP="00A47E2D">
            <w:pPr>
              <w:jc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万元</w:t>
            </w:r>
          </w:p>
        </w:tc>
        <w:tc>
          <w:tcPr>
            <w:tcW w:w="2129" w:type="dxa"/>
            <w:tcBorders>
              <w:tl2br w:val="nil"/>
              <w:tr2bl w:val="nil"/>
            </w:tcBorders>
            <w:shd w:val="clear" w:color="auto" w:fill="auto"/>
            <w:noWrap/>
            <w:vAlign w:val="center"/>
          </w:tcPr>
          <w:p w14:paraId="54CC7A8F"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教学、实习仪器设备值</w:t>
            </w:r>
          </w:p>
        </w:tc>
        <w:tc>
          <w:tcPr>
            <w:tcW w:w="2907" w:type="dxa"/>
            <w:tcBorders>
              <w:tl2br w:val="nil"/>
              <w:tr2bl w:val="nil"/>
            </w:tcBorders>
            <w:shd w:val="clear" w:color="auto" w:fill="auto"/>
            <w:noWrap/>
            <w:vAlign w:val="center"/>
          </w:tcPr>
          <w:p w14:paraId="4386A939" w14:textId="77777777" w:rsidR="0085757D" w:rsidRPr="00490CBD" w:rsidRDefault="0085757D" w:rsidP="00A47E2D">
            <w:pPr>
              <w:rPr>
                <w:rFonts w:ascii="仿宋_GB2312" w:eastAsia="仿宋_GB2312" w:hAnsi="Times New Roman" w:cs="Times New Roman" w:hint="eastAsia"/>
                <w:b/>
                <w:bCs/>
                <w:color w:val="000000" w:themeColor="text1"/>
                <w:szCs w:val="21"/>
              </w:rPr>
            </w:pPr>
            <w:r w:rsidRPr="00490CBD">
              <w:rPr>
                <w:rFonts w:ascii="仿宋_GB2312" w:eastAsia="仿宋_GB2312" w:hAnsi="仿宋_GB2312" w:cs="Times New Roman" w:hint="eastAsia"/>
                <w:color w:val="000000" w:themeColor="text1"/>
                <w:szCs w:val="21"/>
              </w:rPr>
              <w:t>教学、实习仪器设备值</w:t>
            </w:r>
            <w:r w:rsidRPr="00490CBD">
              <w:rPr>
                <w:rFonts w:ascii="仿宋_GB2312" w:eastAsia="仿宋_GB2312" w:hAnsi="Times New Roman" w:cs="Times New Roman" w:hint="eastAsia"/>
                <w:color w:val="000000" w:themeColor="text1"/>
                <w:szCs w:val="21"/>
              </w:rPr>
              <w:t xml:space="preserve">: </w:t>
            </w:r>
            <w:r w:rsidRPr="00490CBD">
              <w:rPr>
                <w:rFonts w:ascii="仿宋_GB2312" w:eastAsia="仿宋_GB2312" w:hAnsi="仿宋_GB2312" w:cs="Times New Roman" w:hint="eastAsia"/>
                <w:color w:val="000000" w:themeColor="text1"/>
                <w:szCs w:val="21"/>
              </w:rPr>
              <w:t>是指学校固定资产中用于教学、实验、实习等仪器设备的资产值</w:t>
            </w:r>
          </w:p>
        </w:tc>
      </w:tr>
      <w:tr w:rsidR="009B265A" w:rsidRPr="009B265A" w14:paraId="130D4723" w14:textId="77777777" w:rsidTr="00A47E2D">
        <w:trPr>
          <w:trHeight w:val="1086"/>
          <w:jc w:val="center"/>
        </w:trPr>
        <w:tc>
          <w:tcPr>
            <w:tcW w:w="723" w:type="dxa"/>
            <w:tcBorders>
              <w:tl2br w:val="nil"/>
              <w:tr2bl w:val="nil"/>
            </w:tcBorders>
            <w:shd w:val="clear" w:color="auto" w:fill="auto"/>
            <w:vAlign w:val="center"/>
          </w:tcPr>
          <w:p w14:paraId="266CA3F4"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30DA965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生均仪器设备值</w:t>
            </w:r>
          </w:p>
        </w:tc>
        <w:tc>
          <w:tcPr>
            <w:tcW w:w="1217" w:type="dxa"/>
            <w:tcBorders>
              <w:tl2br w:val="nil"/>
              <w:tr2bl w:val="nil"/>
            </w:tcBorders>
            <w:shd w:val="clear" w:color="auto" w:fill="auto"/>
            <w:noWrap/>
            <w:vAlign w:val="center"/>
          </w:tcPr>
          <w:p w14:paraId="4CC570A0"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元</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2129" w:type="dxa"/>
            <w:tcBorders>
              <w:tl2br w:val="nil"/>
              <w:tr2bl w:val="nil"/>
            </w:tcBorders>
            <w:shd w:val="clear" w:color="auto" w:fill="auto"/>
            <w:noWrap/>
            <w:vAlign w:val="center"/>
          </w:tcPr>
          <w:p w14:paraId="4D7E83BD" w14:textId="77777777" w:rsidR="0085757D" w:rsidRPr="00490CBD" w:rsidRDefault="0085757D" w:rsidP="00A47E2D">
            <w:pPr>
              <w:widowControl/>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教学、实习仪器设备值</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在校生数</w:t>
            </w:r>
          </w:p>
        </w:tc>
        <w:tc>
          <w:tcPr>
            <w:tcW w:w="2907" w:type="dxa"/>
            <w:tcBorders>
              <w:tl2br w:val="nil"/>
              <w:tr2bl w:val="nil"/>
            </w:tcBorders>
            <w:shd w:val="clear" w:color="auto" w:fill="auto"/>
            <w:noWrap/>
            <w:vAlign w:val="center"/>
          </w:tcPr>
          <w:p w14:paraId="0990CCCB" w14:textId="77777777" w:rsidR="0085757D" w:rsidRPr="00490CBD" w:rsidRDefault="0085757D" w:rsidP="00A47E2D">
            <w:pPr>
              <w:widowControl/>
              <w:jc w:val="left"/>
              <w:textAlignment w:val="center"/>
              <w:rPr>
                <w:rFonts w:ascii="仿宋_GB2312" w:eastAsia="仿宋_GB2312" w:hAnsi="Times New Roman" w:cs="Times New Roman" w:hint="eastAsia"/>
                <w:color w:val="000000" w:themeColor="text1"/>
                <w:szCs w:val="21"/>
              </w:rPr>
            </w:pPr>
          </w:p>
        </w:tc>
      </w:tr>
      <w:tr w:rsidR="009B265A" w:rsidRPr="009B265A" w14:paraId="46C1674D" w14:textId="77777777" w:rsidTr="00A47E2D">
        <w:trPr>
          <w:trHeight w:val="1046"/>
          <w:jc w:val="center"/>
        </w:trPr>
        <w:tc>
          <w:tcPr>
            <w:tcW w:w="723" w:type="dxa"/>
            <w:tcBorders>
              <w:tl2br w:val="nil"/>
              <w:tr2bl w:val="nil"/>
            </w:tcBorders>
            <w:shd w:val="clear" w:color="auto" w:fill="auto"/>
            <w:vAlign w:val="center"/>
          </w:tcPr>
          <w:p w14:paraId="7F6ED6D0" w14:textId="77777777" w:rsidR="0085757D" w:rsidRPr="00490CBD" w:rsidRDefault="0085757D" w:rsidP="00A47E2D">
            <w:pPr>
              <w:widowControl/>
              <w:numPr>
                <w:ilvl w:val="0"/>
                <w:numId w:val="1"/>
              </w:numPr>
              <w:ind w:left="0" w:firstLine="0"/>
              <w:jc w:val="center"/>
              <w:textAlignment w:val="center"/>
              <w:rPr>
                <w:rFonts w:ascii="仿宋_GB2312" w:eastAsia="仿宋_GB2312" w:hAnsi="Times New Roman" w:cs="Times New Roman" w:hint="eastAsia"/>
                <w:color w:val="000000" w:themeColor="text1"/>
                <w:kern w:val="0"/>
                <w:szCs w:val="21"/>
              </w:rPr>
            </w:pPr>
          </w:p>
        </w:tc>
        <w:tc>
          <w:tcPr>
            <w:tcW w:w="1529" w:type="dxa"/>
            <w:tcBorders>
              <w:tl2br w:val="nil"/>
              <w:tr2bl w:val="nil"/>
            </w:tcBorders>
            <w:shd w:val="clear" w:color="auto" w:fill="auto"/>
            <w:vAlign w:val="center"/>
          </w:tcPr>
          <w:p w14:paraId="5A33E63E"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生均图书</w:t>
            </w:r>
          </w:p>
        </w:tc>
        <w:tc>
          <w:tcPr>
            <w:tcW w:w="1217" w:type="dxa"/>
            <w:tcBorders>
              <w:tl2br w:val="nil"/>
              <w:tr2bl w:val="nil"/>
            </w:tcBorders>
            <w:shd w:val="clear" w:color="auto" w:fill="auto"/>
            <w:noWrap/>
            <w:vAlign w:val="center"/>
          </w:tcPr>
          <w:p w14:paraId="1414BBF5"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册</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2129" w:type="dxa"/>
            <w:tcBorders>
              <w:tl2br w:val="nil"/>
              <w:tr2bl w:val="nil"/>
            </w:tcBorders>
            <w:shd w:val="clear" w:color="auto" w:fill="auto"/>
            <w:noWrap/>
            <w:vAlign w:val="center"/>
          </w:tcPr>
          <w:p w14:paraId="7A7B5AE6"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图书册数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kern w:val="0"/>
                <w:szCs w:val="21"/>
              </w:rPr>
              <w:t>在校生数</w:t>
            </w:r>
          </w:p>
        </w:tc>
        <w:tc>
          <w:tcPr>
            <w:tcW w:w="2907" w:type="dxa"/>
            <w:tcBorders>
              <w:tl2br w:val="nil"/>
              <w:tr2bl w:val="nil"/>
            </w:tcBorders>
            <w:shd w:val="clear" w:color="auto" w:fill="auto"/>
            <w:noWrap/>
            <w:vAlign w:val="center"/>
          </w:tcPr>
          <w:p w14:paraId="695B32E5"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图书：参照高等职业学校指标释义，包括纸质图书和数字资源。</w:t>
            </w:r>
          </w:p>
          <w:p w14:paraId="6ABC7971"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纸质图书：是指学校图书馆及资料室拥有的正式出版的纸质书籍。</w:t>
            </w:r>
          </w:p>
          <w:p w14:paraId="5B8BE6B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数字资源：是指电子图书（包括与图书类似的出版物，如研究报告、会议论文集、标准等）、电子期刊（包括与期刊类似的连续出版物）、学位论文（包括本校原生的和付费购买的学位论文）及音视频（包括自建的和付费购买的音视频资料），试用的数字资源和免费使用的数字资源及随纸本书刊所配的光盘以及非</w:t>
            </w:r>
            <w:proofErr w:type="gramStart"/>
            <w:r w:rsidRPr="00490CBD">
              <w:rPr>
                <w:rFonts w:ascii="仿宋_GB2312" w:eastAsia="仿宋_GB2312" w:hAnsi="仿宋_GB2312" w:cs="Times New Roman" w:hint="eastAsia"/>
                <w:color w:val="000000" w:themeColor="text1"/>
                <w:szCs w:val="21"/>
              </w:rPr>
              <w:t>书资料</w:t>
            </w:r>
            <w:proofErr w:type="gramEnd"/>
            <w:r w:rsidRPr="00490CBD">
              <w:rPr>
                <w:rFonts w:ascii="仿宋_GB2312" w:eastAsia="仿宋_GB2312" w:hAnsi="仿宋_GB2312" w:cs="Times New Roman" w:hint="eastAsia"/>
                <w:color w:val="000000" w:themeColor="text1"/>
                <w:szCs w:val="21"/>
              </w:rPr>
              <w:t>等不作为数字资源计量。</w:t>
            </w:r>
          </w:p>
          <w:p w14:paraId="211F3F05"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数字资源折合后计入图书资源总量，且所占比例最高不超过图书资源总量的</w:t>
            </w:r>
            <w:r w:rsidRPr="00490CBD">
              <w:rPr>
                <w:rFonts w:ascii="仿宋_GB2312" w:eastAsia="仿宋_GB2312" w:hAnsi="Times New Roman" w:cs="Times New Roman" w:hint="eastAsia"/>
                <w:color w:val="000000" w:themeColor="text1"/>
                <w:szCs w:val="21"/>
              </w:rPr>
              <w:t>40%</w:t>
            </w:r>
          </w:p>
        </w:tc>
      </w:tr>
      <w:tr w:rsidR="009B265A" w:rsidRPr="009B265A" w14:paraId="672EC8A1" w14:textId="77777777" w:rsidTr="00A47E2D">
        <w:trPr>
          <w:trHeight w:val="303"/>
          <w:jc w:val="center"/>
        </w:trPr>
        <w:tc>
          <w:tcPr>
            <w:tcW w:w="723" w:type="dxa"/>
            <w:tcBorders>
              <w:tl2br w:val="nil"/>
              <w:tr2bl w:val="nil"/>
            </w:tcBorders>
            <w:shd w:val="clear" w:color="auto" w:fill="auto"/>
            <w:vAlign w:val="center"/>
          </w:tcPr>
          <w:p w14:paraId="04A4CF9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附</w:t>
            </w:r>
          </w:p>
        </w:tc>
        <w:tc>
          <w:tcPr>
            <w:tcW w:w="1529" w:type="dxa"/>
            <w:tcBorders>
              <w:tl2br w:val="nil"/>
              <w:tr2bl w:val="nil"/>
            </w:tcBorders>
            <w:shd w:val="clear" w:color="auto" w:fill="auto"/>
            <w:vAlign w:val="center"/>
          </w:tcPr>
          <w:p w14:paraId="41BB91F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在校生数</w:t>
            </w:r>
          </w:p>
        </w:tc>
        <w:tc>
          <w:tcPr>
            <w:tcW w:w="1217" w:type="dxa"/>
            <w:tcBorders>
              <w:tl2br w:val="nil"/>
              <w:tr2bl w:val="nil"/>
            </w:tcBorders>
            <w:shd w:val="clear" w:color="auto" w:fill="auto"/>
            <w:noWrap/>
            <w:vAlign w:val="center"/>
          </w:tcPr>
          <w:p w14:paraId="53DAA118"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人</w:t>
            </w:r>
          </w:p>
        </w:tc>
        <w:tc>
          <w:tcPr>
            <w:tcW w:w="2129" w:type="dxa"/>
            <w:tcBorders>
              <w:tl2br w:val="nil"/>
              <w:tr2bl w:val="nil"/>
            </w:tcBorders>
            <w:shd w:val="clear" w:color="auto" w:fill="auto"/>
            <w:noWrap/>
            <w:vAlign w:val="center"/>
          </w:tcPr>
          <w:p w14:paraId="0562E7B2"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中职学历教育在校生数</w:t>
            </w:r>
          </w:p>
        </w:tc>
        <w:tc>
          <w:tcPr>
            <w:tcW w:w="2907" w:type="dxa"/>
            <w:tcBorders>
              <w:tl2br w:val="nil"/>
              <w:tr2bl w:val="nil"/>
            </w:tcBorders>
            <w:shd w:val="clear" w:color="auto" w:fill="auto"/>
            <w:noWrap/>
            <w:vAlign w:val="center"/>
          </w:tcPr>
          <w:p w14:paraId="3E5F4033"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在校生数：是指注册全日制与非全日制中职学籍，按照国家相关规定在校学习的学生数，包含进行岗位实习、尚未毕业的学生</w:t>
            </w:r>
          </w:p>
        </w:tc>
      </w:tr>
    </w:tbl>
    <w:p w14:paraId="08D3BC1B" w14:textId="77777777" w:rsidR="0085757D" w:rsidRPr="009B265A" w:rsidRDefault="0085757D" w:rsidP="00A361D2">
      <w:pPr>
        <w:spacing w:line="578" w:lineRule="exact"/>
        <w:ind w:firstLine="640"/>
        <w:rPr>
          <w:rFonts w:ascii="黑体" w:eastAsia="黑体" w:hAnsi="黑体" w:cs="Times New Roman"/>
          <w:color w:val="000000" w:themeColor="text1"/>
          <w:sz w:val="32"/>
          <w:szCs w:val="32"/>
        </w:rPr>
      </w:pPr>
      <w:r w:rsidRPr="009B265A">
        <w:rPr>
          <w:rFonts w:ascii="黑体" w:eastAsia="黑体" w:hAnsi="黑体" w:cs="Times New Roman" w:hint="eastAsia"/>
          <w:color w:val="000000" w:themeColor="text1"/>
          <w:sz w:val="32"/>
          <w:szCs w:val="32"/>
        </w:rPr>
        <w:t>二、</w:t>
      </w:r>
      <w:r w:rsidRPr="009B265A">
        <w:rPr>
          <w:rFonts w:ascii="黑体" w:eastAsia="黑体" w:hAnsi="黑体" w:cs="Times New Roman"/>
          <w:color w:val="000000" w:themeColor="text1"/>
          <w:sz w:val="32"/>
          <w:szCs w:val="32"/>
        </w:rPr>
        <w:t>高等职业学校</w:t>
      </w:r>
    </w:p>
    <w:p w14:paraId="3DE415B3" w14:textId="77777777" w:rsidR="0085757D" w:rsidRPr="009B265A" w:rsidRDefault="0085757D" w:rsidP="00A361D2">
      <w:pPr>
        <w:spacing w:line="578" w:lineRule="exact"/>
        <w:ind w:firstLine="640"/>
        <w:rPr>
          <w:rFonts w:ascii="仿宋_GB2312" w:eastAsia="仿宋_GB2312" w:hAnsi="Times New Roman" w:cs="Times New Roman"/>
          <w:color w:val="000000" w:themeColor="text1"/>
          <w:kern w:val="0"/>
          <w:sz w:val="32"/>
          <w:szCs w:val="32"/>
        </w:rPr>
      </w:pPr>
      <w:r w:rsidRPr="009B265A">
        <w:rPr>
          <w:rFonts w:ascii="仿宋_GB2312" w:eastAsia="仿宋_GB2312" w:hAnsi="Times New Roman" w:cs="Times New Roman" w:hint="eastAsia"/>
          <w:color w:val="000000" w:themeColor="text1"/>
          <w:kern w:val="0"/>
          <w:sz w:val="32"/>
          <w:szCs w:val="32"/>
        </w:rPr>
        <w:t>达标学校范围包括教育部门审批并备案的高职（专科）学校，</w:t>
      </w:r>
      <w:r w:rsidRPr="009B265A">
        <w:rPr>
          <w:rFonts w:ascii="仿宋_GB2312" w:eastAsia="仿宋_GB2312" w:hAnsi="Times New Roman" w:cs="Times New Roman" w:hint="eastAsia"/>
          <w:color w:val="000000" w:themeColor="text1"/>
          <w:kern w:val="0"/>
          <w:sz w:val="32"/>
          <w:szCs w:val="32"/>
        </w:rPr>
        <w:lastRenderedPageBreak/>
        <w:t>不包括职业本科学校和2022年（含）以后新设的高职（专科）学校。参照《教育部关于印发〈普通高等学校基本办学条件指标（试行）〉的通知》（教发〔2004〕2 号）规定中的学校分类和合格标准，并根据教育事业发展优化部分指标释义。</w:t>
      </w:r>
    </w:p>
    <w:p w14:paraId="72214F36" w14:textId="77777777" w:rsidR="0085757D" w:rsidRPr="009B265A" w:rsidRDefault="0085757D" w:rsidP="0085757D">
      <w:pPr>
        <w:jc w:val="center"/>
        <w:rPr>
          <w:rFonts w:ascii="黑体" w:eastAsia="黑体" w:hAnsi="黑体" w:cs="Times New Roman"/>
          <w:color w:val="000000" w:themeColor="text1"/>
          <w:kern w:val="0"/>
          <w:sz w:val="28"/>
          <w:szCs w:val="28"/>
        </w:rPr>
      </w:pPr>
      <w:r w:rsidRPr="009B265A">
        <w:rPr>
          <w:rFonts w:ascii="黑体" w:eastAsia="黑体" w:hAnsi="黑体" w:cs="Times New Roman" w:hint="eastAsia"/>
          <w:color w:val="000000" w:themeColor="text1"/>
          <w:kern w:val="0"/>
          <w:sz w:val="28"/>
          <w:szCs w:val="28"/>
        </w:rPr>
        <w:t>表2：高等职业学校办学条件重点监测指标</w:t>
      </w:r>
    </w:p>
    <w:tbl>
      <w:tblPr>
        <w:tblStyle w:val="a6"/>
        <w:tblW w:w="8505" w:type="dxa"/>
        <w:jc w:val="center"/>
        <w:tblLayout w:type="fixed"/>
        <w:tblLook w:val="04A0" w:firstRow="1" w:lastRow="0" w:firstColumn="1" w:lastColumn="0" w:noHBand="0" w:noVBand="1"/>
      </w:tblPr>
      <w:tblGrid>
        <w:gridCol w:w="1808"/>
        <w:gridCol w:w="937"/>
        <w:gridCol w:w="1468"/>
        <w:gridCol w:w="1708"/>
        <w:gridCol w:w="1407"/>
        <w:gridCol w:w="1177"/>
      </w:tblGrid>
      <w:tr w:rsidR="009B265A" w:rsidRPr="009B265A" w14:paraId="6C487BAF" w14:textId="77777777" w:rsidTr="00490CBD">
        <w:trPr>
          <w:jc w:val="center"/>
        </w:trPr>
        <w:tc>
          <w:tcPr>
            <w:tcW w:w="1062" w:type="pct"/>
            <w:vAlign w:val="center"/>
          </w:tcPr>
          <w:p w14:paraId="02E8CCFF"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学校类别</w:t>
            </w:r>
          </w:p>
        </w:tc>
        <w:tc>
          <w:tcPr>
            <w:tcW w:w="551" w:type="pct"/>
            <w:vAlign w:val="center"/>
          </w:tcPr>
          <w:p w14:paraId="380D0836"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生师比</w:t>
            </w:r>
          </w:p>
        </w:tc>
        <w:tc>
          <w:tcPr>
            <w:tcW w:w="862" w:type="pct"/>
            <w:vAlign w:val="center"/>
          </w:tcPr>
          <w:p w14:paraId="6700D496"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具有研究生学位教师占专任教师的比例（</w:t>
            </w:r>
            <w:r w:rsidRPr="009B265A">
              <w:rPr>
                <w:rFonts w:eastAsia="黑体"/>
                <w:color w:val="000000" w:themeColor="text1"/>
                <w:sz w:val="21"/>
                <w:szCs w:val="21"/>
              </w:rPr>
              <w:t>%</w:t>
            </w:r>
            <w:r w:rsidRPr="009B265A">
              <w:rPr>
                <w:rFonts w:eastAsia="黑体"/>
                <w:color w:val="000000" w:themeColor="text1"/>
                <w:sz w:val="21"/>
                <w:szCs w:val="21"/>
              </w:rPr>
              <w:t>）</w:t>
            </w:r>
          </w:p>
        </w:tc>
        <w:tc>
          <w:tcPr>
            <w:tcW w:w="1003" w:type="pct"/>
            <w:vAlign w:val="center"/>
          </w:tcPr>
          <w:p w14:paraId="25E86E96"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生</w:t>
            </w:r>
            <w:proofErr w:type="gramStart"/>
            <w:r w:rsidRPr="009B265A">
              <w:rPr>
                <w:rFonts w:eastAsia="黑体"/>
                <w:color w:val="000000" w:themeColor="text1"/>
                <w:sz w:val="21"/>
                <w:szCs w:val="21"/>
              </w:rPr>
              <w:t>均教学</w:t>
            </w:r>
            <w:proofErr w:type="gramEnd"/>
            <w:r w:rsidRPr="009B265A">
              <w:rPr>
                <w:rFonts w:eastAsia="黑体"/>
                <w:color w:val="000000" w:themeColor="text1"/>
                <w:sz w:val="21"/>
                <w:szCs w:val="21"/>
              </w:rPr>
              <w:t>行政用房（平方米</w:t>
            </w:r>
            <w:r w:rsidRPr="009B265A">
              <w:rPr>
                <w:rFonts w:eastAsia="黑体"/>
                <w:color w:val="000000" w:themeColor="text1"/>
                <w:sz w:val="21"/>
                <w:szCs w:val="21"/>
              </w:rPr>
              <w:t>/</w:t>
            </w:r>
            <w:r w:rsidRPr="009B265A">
              <w:rPr>
                <w:rFonts w:eastAsia="黑体"/>
                <w:color w:val="000000" w:themeColor="text1"/>
                <w:sz w:val="21"/>
                <w:szCs w:val="21"/>
              </w:rPr>
              <w:t>生）</w:t>
            </w:r>
          </w:p>
        </w:tc>
        <w:tc>
          <w:tcPr>
            <w:tcW w:w="827" w:type="pct"/>
            <w:vAlign w:val="center"/>
          </w:tcPr>
          <w:p w14:paraId="60E74024"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生</w:t>
            </w:r>
            <w:proofErr w:type="gramStart"/>
            <w:r w:rsidRPr="009B265A">
              <w:rPr>
                <w:rFonts w:eastAsia="黑体"/>
                <w:color w:val="000000" w:themeColor="text1"/>
                <w:sz w:val="21"/>
                <w:szCs w:val="21"/>
              </w:rPr>
              <w:t>均教学</w:t>
            </w:r>
            <w:proofErr w:type="gramEnd"/>
            <w:r w:rsidRPr="009B265A">
              <w:rPr>
                <w:rFonts w:eastAsia="黑体"/>
                <w:color w:val="000000" w:themeColor="text1"/>
                <w:sz w:val="21"/>
                <w:szCs w:val="21"/>
              </w:rPr>
              <w:t>科研仪器设备值（元</w:t>
            </w:r>
            <w:r w:rsidRPr="009B265A">
              <w:rPr>
                <w:rFonts w:eastAsia="黑体"/>
                <w:color w:val="000000" w:themeColor="text1"/>
                <w:sz w:val="21"/>
                <w:szCs w:val="21"/>
              </w:rPr>
              <w:t>/</w:t>
            </w:r>
            <w:r w:rsidRPr="009B265A">
              <w:rPr>
                <w:rFonts w:eastAsia="黑体"/>
                <w:color w:val="000000" w:themeColor="text1"/>
                <w:sz w:val="21"/>
                <w:szCs w:val="21"/>
              </w:rPr>
              <w:t>生）</w:t>
            </w:r>
          </w:p>
        </w:tc>
        <w:tc>
          <w:tcPr>
            <w:tcW w:w="692" w:type="pct"/>
            <w:vAlign w:val="center"/>
          </w:tcPr>
          <w:p w14:paraId="22948224"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生均图书</w:t>
            </w:r>
          </w:p>
          <w:p w14:paraId="3651697C" w14:textId="77777777" w:rsidR="0085757D" w:rsidRPr="009B265A" w:rsidRDefault="0085757D" w:rsidP="00A47E2D">
            <w:pPr>
              <w:widowControl/>
              <w:jc w:val="center"/>
              <w:textAlignment w:val="center"/>
              <w:rPr>
                <w:rFonts w:eastAsia="黑体"/>
                <w:color w:val="000000" w:themeColor="text1"/>
                <w:sz w:val="21"/>
                <w:szCs w:val="21"/>
              </w:rPr>
            </w:pPr>
            <w:r w:rsidRPr="009B265A">
              <w:rPr>
                <w:rFonts w:eastAsia="黑体"/>
                <w:color w:val="000000" w:themeColor="text1"/>
                <w:sz w:val="21"/>
                <w:szCs w:val="21"/>
              </w:rPr>
              <w:t>（册</w:t>
            </w:r>
            <w:r w:rsidRPr="009B265A">
              <w:rPr>
                <w:rFonts w:eastAsia="黑体"/>
                <w:color w:val="000000" w:themeColor="text1"/>
                <w:sz w:val="21"/>
                <w:szCs w:val="21"/>
              </w:rPr>
              <w:t>/</w:t>
            </w:r>
            <w:r w:rsidRPr="009B265A">
              <w:rPr>
                <w:rFonts w:eastAsia="黑体"/>
                <w:color w:val="000000" w:themeColor="text1"/>
                <w:sz w:val="21"/>
                <w:szCs w:val="21"/>
              </w:rPr>
              <w:t>生）</w:t>
            </w:r>
          </w:p>
        </w:tc>
      </w:tr>
      <w:tr w:rsidR="009B265A" w:rsidRPr="009B265A" w14:paraId="01A687C7" w14:textId="77777777" w:rsidTr="00490CBD">
        <w:trPr>
          <w:trHeight w:val="680"/>
          <w:jc w:val="center"/>
        </w:trPr>
        <w:tc>
          <w:tcPr>
            <w:tcW w:w="1062" w:type="pct"/>
            <w:vAlign w:val="center"/>
          </w:tcPr>
          <w:p w14:paraId="33BDC6E9" w14:textId="77777777" w:rsidR="0085757D" w:rsidRPr="00490CBD" w:rsidRDefault="0085757D" w:rsidP="00A47E2D">
            <w:pP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综合、师范、民族院校</w:t>
            </w:r>
          </w:p>
        </w:tc>
        <w:tc>
          <w:tcPr>
            <w:tcW w:w="551" w:type="pct"/>
            <w:vAlign w:val="center"/>
          </w:tcPr>
          <w:p w14:paraId="1284A680"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18</w:t>
            </w:r>
          </w:p>
        </w:tc>
        <w:tc>
          <w:tcPr>
            <w:tcW w:w="862" w:type="pct"/>
            <w:vAlign w:val="center"/>
          </w:tcPr>
          <w:p w14:paraId="05F4256A"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15</w:t>
            </w:r>
          </w:p>
        </w:tc>
        <w:tc>
          <w:tcPr>
            <w:tcW w:w="1003" w:type="pct"/>
            <w:vAlign w:val="center"/>
          </w:tcPr>
          <w:p w14:paraId="024C0DBB"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14</w:t>
            </w:r>
          </w:p>
        </w:tc>
        <w:tc>
          <w:tcPr>
            <w:tcW w:w="827" w:type="pct"/>
            <w:vAlign w:val="center"/>
          </w:tcPr>
          <w:p w14:paraId="3AB77794"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4000</w:t>
            </w:r>
          </w:p>
        </w:tc>
        <w:tc>
          <w:tcPr>
            <w:tcW w:w="692" w:type="pct"/>
            <w:vAlign w:val="center"/>
          </w:tcPr>
          <w:p w14:paraId="2B734EE6"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80</w:t>
            </w:r>
          </w:p>
        </w:tc>
      </w:tr>
      <w:tr w:rsidR="009B265A" w:rsidRPr="009B265A" w14:paraId="114F6C57" w14:textId="77777777" w:rsidTr="00490CBD">
        <w:trPr>
          <w:trHeight w:val="680"/>
          <w:jc w:val="center"/>
        </w:trPr>
        <w:tc>
          <w:tcPr>
            <w:tcW w:w="1062" w:type="pct"/>
            <w:vAlign w:val="center"/>
          </w:tcPr>
          <w:p w14:paraId="6CB395F0" w14:textId="77777777" w:rsidR="0085757D" w:rsidRPr="00490CBD" w:rsidRDefault="0085757D" w:rsidP="00A47E2D">
            <w:pP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工科、农、林院校</w:t>
            </w:r>
          </w:p>
        </w:tc>
        <w:tc>
          <w:tcPr>
            <w:tcW w:w="551" w:type="pct"/>
            <w:vAlign w:val="center"/>
          </w:tcPr>
          <w:p w14:paraId="408BFE51"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18</w:t>
            </w:r>
          </w:p>
        </w:tc>
        <w:tc>
          <w:tcPr>
            <w:tcW w:w="862" w:type="pct"/>
            <w:vAlign w:val="center"/>
          </w:tcPr>
          <w:p w14:paraId="55A83E9E"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15</w:t>
            </w:r>
          </w:p>
        </w:tc>
        <w:tc>
          <w:tcPr>
            <w:tcW w:w="1003" w:type="pct"/>
            <w:vAlign w:val="center"/>
          </w:tcPr>
          <w:p w14:paraId="32772165"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16</w:t>
            </w:r>
          </w:p>
        </w:tc>
        <w:tc>
          <w:tcPr>
            <w:tcW w:w="827" w:type="pct"/>
            <w:vAlign w:val="center"/>
          </w:tcPr>
          <w:p w14:paraId="1F48EC0C"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4000</w:t>
            </w:r>
          </w:p>
        </w:tc>
        <w:tc>
          <w:tcPr>
            <w:tcW w:w="692" w:type="pct"/>
            <w:vAlign w:val="center"/>
          </w:tcPr>
          <w:p w14:paraId="4B943F5B"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60</w:t>
            </w:r>
          </w:p>
        </w:tc>
      </w:tr>
      <w:tr w:rsidR="009B265A" w:rsidRPr="009B265A" w14:paraId="39352682" w14:textId="77777777" w:rsidTr="00490CBD">
        <w:trPr>
          <w:trHeight w:val="680"/>
          <w:jc w:val="center"/>
        </w:trPr>
        <w:tc>
          <w:tcPr>
            <w:tcW w:w="1062" w:type="pct"/>
            <w:vAlign w:val="center"/>
          </w:tcPr>
          <w:p w14:paraId="2EFBF6C3" w14:textId="77777777" w:rsidR="0085757D" w:rsidRPr="00490CBD" w:rsidRDefault="0085757D" w:rsidP="00A47E2D">
            <w:pP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医学院校</w:t>
            </w:r>
          </w:p>
        </w:tc>
        <w:tc>
          <w:tcPr>
            <w:tcW w:w="551" w:type="pct"/>
            <w:vAlign w:val="center"/>
          </w:tcPr>
          <w:p w14:paraId="13365050"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16</w:t>
            </w:r>
          </w:p>
        </w:tc>
        <w:tc>
          <w:tcPr>
            <w:tcW w:w="862" w:type="pct"/>
            <w:vAlign w:val="center"/>
          </w:tcPr>
          <w:p w14:paraId="25B3CCC1"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15</w:t>
            </w:r>
          </w:p>
        </w:tc>
        <w:tc>
          <w:tcPr>
            <w:tcW w:w="1003" w:type="pct"/>
            <w:vAlign w:val="center"/>
          </w:tcPr>
          <w:p w14:paraId="7DC2CAB9"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16</w:t>
            </w:r>
          </w:p>
        </w:tc>
        <w:tc>
          <w:tcPr>
            <w:tcW w:w="827" w:type="pct"/>
            <w:vAlign w:val="center"/>
          </w:tcPr>
          <w:p w14:paraId="34E80768"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4000</w:t>
            </w:r>
          </w:p>
        </w:tc>
        <w:tc>
          <w:tcPr>
            <w:tcW w:w="692" w:type="pct"/>
            <w:vAlign w:val="center"/>
          </w:tcPr>
          <w:p w14:paraId="4470DF59"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60</w:t>
            </w:r>
          </w:p>
        </w:tc>
      </w:tr>
      <w:tr w:rsidR="009B265A" w:rsidRPr="009B265A" w14:paraId="0AC1ABE3" w14:textId="77777777" w:rsidTr="00490CBD">
        <w:trPr>
          <w:trHeight w:val="680"/>
          <w:jc w:val="center"/>
        </w:trPr>
        <w:tc>
          <w:tcPr>
            <w:tcW w:w="1062" w:type="pct"/>
            <w:vAlign w:val="center"/>
          </w:tcPr>
          <w:p w14:paraId="47132683" w14:textId="77777777" w:rsidR="0085757D" w:rsidRPr="00490CBD" w:rsidRDefault="0085757D" w:rsidP="00A47E2D">
            <w:pP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语文、财经、政法院校</w:t>
            </w:r>
          </w:p>
        </w:tc>
        <w:tc>
          <w:tcPr>
            <w:tcW w:w="551" w:type="pct"/>
            <w:vAlign w:val="center"/>
          </w:tcPr>
          <w:p w14:paraId="44B94EE6"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18</w:t>
            </w:r>
          </w:p>
        </w:tc>
        <w:tc>
          <w:tcPr>
            <w:tcW w:w="862" w:type="pct"/>
            <w:vAlign w:val="center"/>
          </w:tcPr>
          <w:p w14:paraId="1414A932"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15</w:t>
            </w:r>
          </w:p>
        </w:tc>
        <w:tc>
          <w:tcPr>
            <w:tcW w:w="1003" w:type="pct"/>
            <w:vAlign w:val="center"/>
          </w:tcPr>
          <w:p w14:paraId="77AB9C42"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9</w:t>
            </w:r>
          </w:p>
        </w:tc>
        <w:tc>
          <w:tcPr>
            <w:tcW w:w="827" w:type="pct"/>
            <w:vAlign w:val="center"/>
          </w:tcPr>
          <w:p w14:paraId="0D96798E"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3000</w:t>
            </w:r>
          </w:p>
        </w:tc>
        <w:tc>
          <w:tcPr>
            <w:tcW w:w="692" w:type="pct"/>
            <w:vAlign w:val="center"/>
          </w:tcPr>
          <w:p w14:paraId="60C1ED83"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80</w:t>
            </w:r>
          </w:p>
        </w:tc>
      </w:tr>
      <w:tr w:rsidR="009B265A" w:rsidRPr="009B265A" w14:paraId="13CC993C" w14:textId="77777777" w:rsidTr="00490CBD">
        <w:trPr>
          <w:trHeight w:val="680"/>
          <w:jc w:val="center"/>
        </w:trPr>
        <w:tc>
          <w:tcPr>
            <w:tcW w:w="1062" w:type="pct"/>
            <w:vAlign w:val="center"/>
          </w:tcPr>
          <w:p w14:paraId="42EBC927" w14:textId="77777777" w:rsidR="0085757D" w:rsidRPr="00490CBD" w:rsidRDefault="0085757D" w:rsidP="00A47E2D">
            <w:pP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体育院校</w:t>
            </w:r>
          </w:p>
        </w:tc>
        <w:tc>
          <w:tcPr>
            <w:tcW w:w="551" w:type="pct"/>
            <w:vAlign w:val="center"/>
          </w:tcPr>
          <w:p w14:paraId="6A90C504"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13</w:t>
            </w:r>
          </w:p>
        </w:tc>
        <w:tc>
          <w:tcPr>
            <w:tcW w:w="862" w:type="pct"/>
            <w:vAlign w:val="center"/>
          </w:tcPr>
          <w:p w14:paraId="4EE32137"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15</w:t>
            </w:r>
          </w:p>
        </w:tc>
        <w:tc>
          <w:tcPr>
            <w:tcW w:w="1003" w:type="pct"/>
            <w:vAlign w:val="center"/>
          </w:tcPr>
          <w:p w14:paraId="7A7E10FF"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22</w:t>
            </w:r>
          </w:p>
        </w:tc>
        <w:tc>
          <w:tcPr>
            <w:tcW w:w="827" w:type="pct"/>
            <w:vAlign w:val="center"/>
          </w:tcPr>
          <w:p w14:paraId="515EF48E"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3000</w:t>
            </w:r>
          </w:p>
        </w:tc>
        <w:tc>
          <w:tcPr>
            <w:tcW w:w="692" w:type="pct"/>
            <w:vAlign w:val="center"/>
          </w:tcPr>
          <w:p w14:paraId="42D8D768" w14:textId="77777777" w:rsidR="0085757D" w:rsidRPr="00490CBD" w:rsidRDefault="0085757D" w:rsidP="00A47E2D">
            <w:pPr>
              <w:jc w:val="center"/>
              <w:rPr>
                <w:rFonts w:ascii="仿宋_GB2312" w:eastAsia="仿宋_GB2312" w:hint="eastAsia"/>
                <w:color w:val="000000" w:themeColor="text1"/>
                <w:sz w:val="21"/>
                <w:szCs w:val="21"/>
              </w:rPr>
            </w:pPr>
            <w:r w:rsidRPr="00490CBD">
              <w:rPr>
                <w:rFonts w:ascii="仿宋_GB2312" w:eastAsia="仿宋_GB2312" w:hint="eastAsia"/>
                <w:color w:val="000000" w:themeColor="text1"/>
                <w:sz w:val="21"/>
                <w:szCs w:val="21"/>
              </w:rPr>
              <w:t>50</w:t>
            </w:r>
          </w:p>
        </w:tc>
        <w:bookmarkStart w:id="0" w:name="_GoBack"/>
        <w:bookmarkEnd w:id="0"/>
      </w:tr>
      <w:tr w:rsidR="009B265A" w:rsidRPr="009B265A" w14:paraId="0F3BA5A9" w14:textId="77777777" w:rsidTr="00490CBD">
        <w:trPr>
          <w:trHeight w:val="680"/>
          <w:jc w:val="center"/>
        </w:trPr>
        <w:tc>
          <w:tcPr>
            <w:tcW w:w="1062" w:type="pct"/>
            <w:vAlign w:val="center"/>
          </w:tcPr>
          <w:p w14:paraId="2B1F4E37" w14:textId="77777777" w:rsidR="0085757D" w:rsidRPr="00490CBD" w:rsidRDefault="0085757D" w:rsidP="00A47E2D">
            <w:pPr>
              <w:pStyle w:val="a5"/>
              <w:ind w:firstLineChars="0" w:firstLine="0"/>
              <w:rPr>
                <w:rFonts w:ascii="仿宋_GB2312" w:hint="eastAsia"/>
                <w:color w:val="000000" w:themeColor="text1"/>
                <w:sz w:val="21"/>
                <w:szCs w:val="21"/>
              </w:rPr>
            </w:pPr>
            <w:r w:rsidRPr="00490CBD">
              <w:rPr>
                <w:rFonts w:ascii="仿宋_GB2312" w:hint="eastAsia"/>
                <w:color w:val="000000" w:themeColor="text1"/>
                <w:sz w:val="21"/>
                <w:szCs w:val="21"/>
              </w:rPr>
              <w:t>艺术院校</w:t>
            </w:r>
          </w:p>
        </w:tc>
        <w:tc>
          <w:tcPr>
            <w:tcW w:w="551" w:type="pct"/>
            <w:vAlign w:val="center"/>
          </w:tcPr>
          <w:p w14:paraId="6B086F64" w14:textId="77777777" w:rsidR="0085757D" w:rsidRPr="00490CBD" w:rsidRDefault="0085757D" w:rsidP="00A47E2D">
            <w:pPr>
              <w:pStyle w:val="a5"/>
              <w:ind w:firstLineChars="0" w:firstLine="0"/>
              <w:jc w:val="center"/>
              <w:rPr>
                <w:rFonts w:ascii="仿宋_GB2312" w:hint="eastAsia"/>
                <w:color w:val="000000" w:themeColor="text1"/>
                <w:sz w:val="21"/>
                <w:szCs w:val="21"/>
              </w:rPr>
            </w:pPr>
            <w:r w:rsidRPr="00490CBD">
              <w:rPr>
                <w:rFonts w:ascii="仿宋_GB2312" w:hint="eastAsia"/>
                <w:color w:val="000000" w:themeColor="text1"/>
                <w:sz w:val="21"/>
                <w:szCs w:val="21"/>
              </w:rPr>
              <w:t>13</w:t>
            </w:r>
          </w:p>
        </w:tc>
        <w:tc>
          <w:tcPr>
            <w:tcW w:w="862" w:type="pct"/>
            <w:vAlign w:val="center"/>
          </w:tcPr>
          <w:p w14:paraId="3DA6403F" w14:textId="77777777" w:rsidR="0085757D" w:rsidRPr="00490CBD" w:rsidRDefault="0085757D" w:rsidP="00A47E2D">
            <w:pPr>
              <w:pStyle w:val="a5"/>
              <w:ind w:firstLineChars="0" w:firstLine="0"/>
              <w:jc w:val="center"/>
              <w:rPr>
                <w:rFonts w:ascii="仿宋_GB2312" w:hint="eastAsia"/>
                <w:color w:val="000000" w:themeColor="text1"/>
                <w:sz w:val="21"/>
                <w:szCs w:val="21"/>
              </w:rPr>
            </w:pPr>
            <w:r w:rsidRPr="00490CBD">
              <w:rPr>
                <w:rFonts w:ascii="仿宋_GB2312" w:hint="eastAsia"/>
                <w:color w:val="000000" w:themeColor="text1"/>
                <w:sz w:val="21"/>
                <w:szCs w:val="21"/>
              </w:rPr>
              <w:t>15</w:t>
            </w:r>
          </w:p>
        </w:tc>
        <w:tc>
          <w:tcPr>
            <w:tcW w:w="1003" w:type="pct"/>
            <w:vAlign w:val="center"/>
          </w:tcPr>
          <w:p w14:paraId="2DFB8089" w14:textId="77777777" w:rsidR="0085757D" w:rsidRPr="00490CBD" w:rsidRDefault="0085757D" w:rsidP="00A47E2D">
            <w:pPr>
              <w:pStyle w:val="a5"/>
              <w:ind w:firstLineChars="0" w:firstLine="0"/>
              <w:jc w:val="center"/>
              <w:rPr>
                <w:rFonts w:ascii="仿宋_GB2312" w:hint="eastAsia"/>
                <w:color w:val="000000" w:themeColor="text1"/>
                <w:sz w:val="21"/>
                <w:szCs w:val="21"/>
              </w:rPr>
            </w:pPr>
            <w:r w:rsidRPr="00490CBD">
              <w:rPr>
                <w:rFonts w:ascii="仿宋_GB2312" w:hint="eastAsia"/>
                <w:color w:val="000000" w:themeColor="text1"/>
                <w:sz w:val="21"/>
                <w:szCs w:val="21"/>
              </w:rPr>
              <w:t>18</w:t>
            </w:r>
          </w:p>
        </w:tc>
        <w:tc>
          <w:tcPr>
            <w:tcW w:w="827" w:type="pct"/>
            <w:vAlign w:val="center"/>
          </w:tcPr>
          <w:p w14:paraId="247EE4D5" w14:textId="77777777" w:rsidR="0085757D" w:rsidRPr="00490CBD" w:rsidRDefault="0085757D" w:rsidP="00A47E2D">
            <w:pPr>
              <w:pStyle w:val="a5"/>
              <w:ind w:firstLineChars="0" w:firstLine="0"/>
              <w:jc w:val="center"/>
              <w:rPr>
                <w:rFonts w:ascii="仿宋_GB2312" w:hint="eastAsia"/>
                <w:color w:val="000000" w:themeColor="text1"/>
                <w:sz w:val="21"/>
                <w:szCs w:val="21"/>
              </w:rPr>
            </w:pPr>
            <w:r w:rsidRPr="00490CBD">
              <w:rPr>
                <w:rFonts w:ascii="仿宋_GB2312" w:hint="eastAsia"/>
                <w:color w:val="000000" w:themeColor="text1"/>
                <w:sz w:val="21"/>
                <w:szCs w:val="21"/>
              </w:rPr>
              <w:t>3000</w:t>
            </w:r>
          </w:p>
        </w:tc>
        <w:tc>
          <w:tcPr>
            <w:tcW w:w="692" w:type="pct"/>
            <w:vAlign w:val="center"/>
          </w:tcPr>
          <w:p w14:paraId="331D89C9" w14:textId="77777777" w:rsidR="0085757D" w:rsidRPr="00490CBD" w:rsidRDefault="0085757D" w:rsidP="00A47E2D">
            <w:pPr>
              <w:pStyle w:val="a5"/>
              <w:ind w:firstLineChars="0" w:firstLine="0"/>
              <w:jc w:val="center"/>
              <w:rPr>
                <w:rFonts w:ascii="仿宋_GB2312" w:hint="eastAsia"/>
                <w:color w:val="000000" w:themeColor="text1"/>
                <w:sz w:val="21"/>
                <w:szCs w:val="21"/>
              </w:rPr>
            </w:pPr>
            <w:r w:rsidRPr="00490CBD">
              <w:rPr>
                <w:rFonts w:ascii="仿宋_GB2312" w:hint="eastAsia"/>
                <w:color w:val="000000" w:themeColor="text1"/>
                <w:sz w:val="21"/>
                <w:szCs w:val="21"/>
              </w:rPr>
              <w:t>60</w:t>
            </w:r>
          </w:p>
        </w:tc>
      </w:tr>
    </w:tbl>
    <w:p w14:paraId="37346FED" w14:textId="77777777" w:rsidR="0085757D" w:rsidRPr="009B265A" w:rsidRDefault="0085757D" w:rsidP="0085757D">
      <w:pPr>
        <w:jc w:val="center"/>
        <w:rPr>
          <w:rFonts w:ascii="黑体" w:eastAsia="黑体" w:hAnsi="黑体" w:cs="Times New Roman"/>
          <w:color w:val="000000" w:themeColor="text1"/>
          <w:kern w:val="0"/>
          <w:sz w:val="28"/>
          <w:szCs w:val="28"/>
        </w:rPr>
      </w:pPr>
      <w:r w:rsidRPr="009B265A">
        <w:rPr>
          <w:rFonts w:ascii="黑体" w:eastAsia="黑体" w:hAnsi="黑体" w:cs="Times New Roman" w:hint="eastAsia"/>
          <w:color w:val="000000" w:themeColor="text1"/>
          <w:kern w:val="0"/>
          <w:sz w:val="28"/>
          <w:szCs w:val="28"/>
        </w:rPr>
        <w:t>表3：高等职业学校办学条件重点监测</w:t>
      </w:r>
      <w:r w:rsidRPr="009B265A">
        <w:rPr>
          <w:rFonts w:ascii="黑体" w:eastAsia="黑体" w:hAnsi="黑体" w:cs="Times New Roman"/>
          <w:color w:val="000000" w:themeColor="text1"/>
          <w:kern w:val="0"/>
          <w:sz w:val="28"/>
          <w:szCs w:val="28"/>
        </w:rPr>
        <w:t>指标释义</w:t>
      </w:r>
    </w:p>
    <w:tbl>
      <w:tblPr>
        <w:tblW w:w="865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1386"/>
        <w:gridCol w:w="1276"/>
        <w:gridCol w:w="1559"/>
        <w:gridCol w:w="3727"/>
      </w:tblGrid>
      <w:tr w:rsidR="009B265A" w:rsidRPr="009B265A" w14:paraId="6A7A014D" w14:textId="77777777" w:rsidTr="00A361D2">
        <w:trPr>
          <w:trHeight w:val="472"/>
          <w:tblHeader/>
          <w:jc w:val="center"/>
        </w:trPr>
        <w:tc>
          <w:tcPr>
            <w:tcW w:w="704" w:type="dxa"/>
            <w:tcBorders>
              <w:tl2br w:val="nil"/>
              <w:tr2bl w:val="nil"/>
            </w:tcBorders>
            <w:shd w:val="clear" w:color="auto" w:fill="auto"/>
            <w:vAlign w:val="center"/>
          </w:tcPr>
          <w:p w14:paraId="71B69F8D" w14:textId="77777777" w:rsidR="0085757D" w:rsidRPr="009B265A" w:rsidRDefault="0085757D" w:rsidP="00A47E2D">
            <w:pPr>
              <w:widowControl/>
              <w:jc w:val="center"/>
              <w:textAlignment w:val="center"/>
              <w:rPr>
                <w:rFonts w:ascii="Times New Roman" w:eastAsia="宋体" w:hAnsi="Times New Roman" w:cs="Times New Roman"/>
                <w:b/>
                <w:bCs/>
                <w:color w:val="000000" w:themeColor="text1"/>
                <w:kern w:val="0"/>
                <w:szCs w:val="21"/>
              </w:rPr>
            </w:pPr>
            <w:r w:rsidRPr="009B265A">
              <w:rPr>
                <w:rFonts w:ascii="Times New Roman" w:eastAsia="宋体" w:hAnsi="Times New Roman" w:cs="Times New Roman"/>
                <w:b/>
                <w:bCs/>
                <w:color w:val="000000" w:themeColor="text1"/>
                <w:kern w:val="0"/>
                <w:szCs w:val="21"/>
              </w:rPr>
              <w:t>序号</w:t>
            </w:r>
          </w:p>
        </w:tc>
        <w:tc>
          <w:tcPr>
            <w:tcW w:w="1386" w:type="dxa"/>
            <w:tcBorders>
              <w:tl2br w:val="nil"/>
              <w:tr2bl w:val="nil"/>
            </w:tcBorders>
            <w:shd w:val="clear" w:color="auto" w:fill="auto"/>
            <w:vAlign w:val="center"/>
          </w:tcPr>
          <w:p w14:paraId="0613D6DE" w14:textId="77777777" w:rsidR="0085757D" w:rsidRPr="009B265A" w:rsidRDefault="0085757D" w:rsidP="00A47E2D">
            <w:pPr>
              <w:widowControl/>
              <w:jc w:val="center"/>
              <w:textAlignment w:val="center"/>
              <w:rPr>
                <w:rFonts w:ascii="Times New Roman" w:eastAsia="宋体" w:hAnsi="Times New Roman" w:cs="Times New Roman"/>
                <w:b/>
                <w:bCs/>
                <w:color w:val="000000" w:themeColor="text1"/>
                <w:kern w:val="0"/>
                <w:szCs w:val="21"/>
              </w:rPr>
            </w:pPr>
            <w:r w:rsidRPr="009B265A">
              <w:rPr>
                <w:rFonts w:ascii="Times New Roman" w:eastAsia="宋体" w:hAnsi="Times New Roman" w:cs="Times New Roman"/>
                <w:b/>
                <w:bCs/>
                <w:color w:val="000000" w:themeColor="text1"/>
                <w:kern w:val="0"/>
                <w:szCs w:val="21"/>
              </w:rPr>
              <w:t>指标名称</w:t>
            </w:r>
          </w:p>
        </w:tc>
        <w:tc>
          <w:tcPr>
            <w:tcW w:w="1276" w:type="dxa"/>
            <w:tcBorders>
              <w:tl2br w:val="nil"/>
              <w:tr2bl w:val="nil"/>
            </w:tcBorders>
            <w:shd w:val="clear" w:color="auto" w:fill="auto"/>
            <w:noWrap/>
            <w:vAlign w:val="center"/>
          </w:tcPr>
          <w:p w14:paraId="4226B2D4" w14:textId="77777777" w:rsidR="0085757D" w:rsidRPr="009B265A" w:rsidRDefault="0085757D" w:rsidP="00A47E2D">
            <w:pPr>
              <w:jc w:val="center"/>
              <w:rPr>
                <w:rFonts w:ascii="Times New Roman" w:eastAsia="宋体" w:hAnsi="Times New Roman" w:cs="Times New Roman"/>
                <w:b/>
                <w:bCs/>
                <w:color w:val="000000" w:themeColor="text1"/>
                <w:kern w:val="0"/>
                <w:szCs w:val="21"/>
              </w:rPr>
            </w:pPr>
            <w:r w:rsidRPr="009B265A">
              <w:rPr>
                <w:rFonts w:ascii="Times New Roman" w:eastAsia="宋体" w:hAnsi="Times New Roman" w:cs="Times New Roman"/>
                <w:b/>
                <w:bCs/>
                <w:color w:val="000000" w:themeColor="text1"/>
                <w:kern w:val="0"/>
                <w:szCs w:val="21"/>
              </w:rPr>
              <w:t>单位</w:t>
            </w:r>
          </w:p>
        </w:tc>
        <w:tc>
          <w:tcPr>
            <w:tcW w:w="1559" w:type="dxa"/>
            <w:tcBorders>
              <w:tl2br w:val="nil"/>
              <w:tr2bl w:val="nil"/>
            </w:tcBorders>
            <w:shd w:val="clear" w:color="auto" w:fill="auto"/>
            <w:noWrap/>
            <w:vAlign w:val="center"/>
          </w:tcPr>
          <w:p w14:paraId="61A740FC" w14:textId="77777777" w:rsidR="0085757D" w:rsidRPr="009B265A" w:rsidRDefault="0085757D" w:rsidP="00A47E2D">
            <w:pPr>
              <w:jc w:val="center"/>
              <w:rPr>
                <w:rFonts w:ascii="Times New Roman" w:eastAsia="宋体" w:hAnsi="Times New Roman" w:cs="Times New Roman"/>
                <w:color w:val="000000" w:themeColor="text1"/>
                <w:szCs w:val="21"/>
              </w:rPr>
            </w:pPr>
            <w:r w:rsidRPr="009B265A">
              <w:rPr>
                <w:rFonts w:ascii="Times New Roman" w:eastAsia="宋体" w:hAnsi="Times New Roman" w:cs="Times New Roman"/>
                <w:b/>
                <w:bCs/>
                <w:color w:val="000000" w:themeColor="text1"/>
                <w:kern w:val="0"/>
                <w:szCs w:val="21"/>
              </w:rPr>
              <w:t>计算公式</w:t>
            </w:r>
          </w:p>
        </w:tc>
        <w:tc>
          <w:tcPr>
            <w:tcW w:w="3727" w:type="dxa"/>
            <w:tcBorders>
              <w:tl2br w:val="nil"/>
              <w:tr2bl w:val="nil"/>
            </w:tcBorders>
            <w:shd w:val="clear" w:color="auto" w:fill="auto"/>
            <w:noWrap/>
            <w:vAlign w:val="center"/>
          </w:tcPr>
          <w:p w14:paraId="6874F8CF" w14:textId="77777777" w:rsidR="0085757D" w:rsidRPr="009B265A" w:rsidRDefault="0085757D" w:rsidP="00A47E2D">
            <w:pPr>
              <w:jc w:val="center"/>
              <w:rPr>
                <w:rFonts w:ascii="Times New Roman" w:eastAsia="宋体" w:hAnsi="Times New Roman" w:cs="Times New Roman"/>
                <w:b/>
                <w:bCs/>
                <w:color w:val="000000" w:themeColor="text1"/>
                <w:kern w:val="0"/>
                <w:szCs w:val="21"/>
              </w:rPr>
            </w:pPr>
            <w:r w:rsidRPr="009B265A">
              <w:rPr>
                <w:rFonts w:ascii="Times New Roman" w:eastAsia="宋体" w:hAnsi="Times New Roman" w:cs="Times New Roman"/>
                <w:b/>
                <w:bCs/>
                <w:color w:val="000000" w:themeColor="text1"/>
                <w:kern w:val="0"/>
                <w:szCs w:val="21"/>
              </w:rPr>
              <w:t>注释说明</w:t>
            </w:r>
          </w:p>
        </w:tc>
      </w:tr>
      <w:tr w:rsidR="009B265A" w:rsidRPr="009B265A" w14:paraId="2B3C66D8" w14:textId="77777777" w:rsidTr="00A361D2">
        <w:trPr>
          <w:trHeight w:val="303"/>
          <w:jc w:val="center"/>
        </w:trPr>
        <w:tc>
          <w:tcPr>
            <w:tcW w:w="704" w:type="dxa"/>
            <w:tcBorders>
              <w:tl2br w:val="nil"/>
              <w:tr2bl w:val="nil"/>
            </w:tcBorders>
            <w:shd w:val="clear" w:color="auto" w:fill="auto"/>
            <w:vAlign w:val="center"/>
          </w:tcPr>
          <w:p w14:paraId="6590DA96" w14:textId="77777777" w:rsidR="0085757D" w:rsidRPr="00490CBD" w:rsidRDefault="0085757D" w:rsidP="00A47E2D">
            <w:pPr>
              <w:widowControl/>
              <w:numPr>
                <w:ilvl w:val="0"/>
                <w:numId w:val="2"/>
              </w:numPr>
              <w:ind w:left="0" w:firstLine="0"/>
              <w:jc w:val="center"/>
              <w:textAlignment w:val="center"/>
              <w:rPr>
                <w:rFonts w:ascii="仿宋_GB2312" w:eastAsia="仿宋_GB2312" w:hAnsi="Times New Roman" w:cs="Times New Roman" w:hint="eastAsia"/>
                <w:color w:val="000000" w:themeColor="text1"/>
                <w:sz w:val="24"/>
                <w:szCs w:val="18"/>
              </w:rPr>
            </w:pPr>
          </w:p>
        </w:tc>
        <w:tc>
          <w:tcPr>
            <w:tcW w:w="1386" w:type="dxa"/>
            <w:tcBorders>
              <w:tl2br w:val="nil"/>
              <w:tr2bl w:val="nil"/>
            </w:tcBorders>
            <w:shd w:val="clear" w:color="auto" w:fill="auto"/>
            <w:vAlign w:val="center"/>
          </w:tcPr>
          <w:p w14:paraId="011E90C0"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生师比</w:t>
            </w:r>
          </w:p>
        </w:tc>
        <w:tc>
          <w:tcPr>
            <w:tcW w:w="1276" w:type="dxa"/>
            <w:tcBorders>
              <w:tl2br w:val="nil"/>
              <w:tr2bl w:val="nil"/>
            </w:tcBorders>
            <w:shd w:val="clear" w:color="auto" w:fill="auto"/>
            <w:noWrap/>
            <w:vAlign w:val="center"/>
          </w:tcPr>
          <w:p w14:paraId="0CA3CA94" w14:textId="77777777" w:rsidR="0085757D" w:rsidRPr="00490CBD" w:rsidRDefault="0085757D" w:rsidP="00A47E2D">
            <w:pPr>
              <w:jc w:val="center"/>
              <w:rPr>
                <w:rFonts w:ascii="仿宋_GB2312" w:eastAsia="仿宋_GB2312" w:hAnsi="Times New Roman" w:cs="Times New Roman" w:hint="eastAsia"/>
                <w:color w:val="000000" w:themeColor="text1"/>
                <w:kern w:val="0"/>
                <w:szCs w:val="21"/>
              </w:rPr>
            </w:pPr>
            <w:r w:rsidRPr="00490CBD">
              <w:rPr>
                <w:rFonts w:ascii="仿宋_GB2312" w:eastAsia="仿宋_GB2312" w:hAnsi="Times New Roman" w:cs="Times New Roman" w:hint="eastAsia"/>
                <w:color w:val="000000" w:themeColor="text1"/>
                <w:szCs w:val="21"/>
              </w:rPr>
              <w:t>——</w:t>
            </w:r>
          </w:p>
        </w:tc>
        <w:tc>
          <w:tcPr>
            <w:tcW w:w="1559" w:type="dxa"/>
            <w:tcBorders>
              <w:tl2br w:val="nil"/>
              <w:tr2bl w:val="nil"/>
            </w:tcBorders>
            <w:shd w:val="clear" w:color="auto" w:fill="auto"/>
            <w:noWrap/>
            <w:vAlign w:val="center"/>
          </w:tcPr>
          <w:p w14:paraId="029F456B"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折合学生数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折合教师数</w:t>
            </w:r>
          </w:p>
        </w:tc>
        <w:tc>
          <w:tcPr>
            <w:tcW w:w="3727" w:type="dxa"/>
            <w:tcBorders>
              <w:tl2br w:val="nil"/>
              <w:tr2bl w:val="nil"/>
            </w:tcBorders>
            <w:shd w:val="clear" w:color="auto" w:fill="auto"/>
            <w:noWrap/>
            <w:vAlign w:val="center"/>
          </w:tcPr>
          <w:p w14:paraId="3336DAF3"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折合学生数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高职（专科）在校生数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专科留学生在校生数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普通预科</w:t>
            </w:r>
            <w:proofErr w:type="gramStart"/>
            <w:r w:rsidRPr="00490CBD">
              <w:rPr>
                <w:rFonts w:ascii="仿宋_GB2312" w:eastAsia="仿宋_GB2312" w:hAnsi="仿宋_GB2312" w:cs="Times New Roman" w:hint="eastAsia"/>
                <w:color w:val="000000" w:themeColor="text1"/>
                <w:szCs w:val="21"/>
              </w:rPr>
              <w:t>生注册</w:t>
            </w:r>
            <w:proofErr w:type="gramEnd"/>
            <w:r w:rsidRPr="00490CBD">
              <w:rPr>
                <w:rFonts w:ascii="仿宋_GB2312" w:eastAsia="仿宋_GB2312" w:hAnsi="仿宋_GB2312" w:cs="Times New Roman" w:hint="eastAsia"/>
                <w:color w:val="000000" w:themeColor="text1"/>
                <w:szCs w:val="21"/>
              </w:rPr>
              <w:t>生数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成人脱产在校生</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成人业余在校生数</w:t>
            </w:r>
            <w:r w:rsidRPr="00490CBD">
              <w:rPr>
                <w:rFonts w:ascii="仿宋_GB2312" w:eastAsia="仿宋_GB2312" w:hAnsi="Times New Roman" w:cs="Times New Roman" w:hint="eastAsia"/>
                <w:color w:val="000000" w:themeColor="text1"/>
                <w:szCs w:val="21"/>
              </w:rPr>
              <w:t>*0.3+</w:t>
            </w:r>
            <w:r w:rsidRPr="00490CBD">
              <w:rPr>
                <w:rFonts w:ascii="仿宋_GB2312" w:eastAsia="仿宋_GB2312" w:hAnsi="仿宋_GB2312" w:cs="Times New Roman" w:hint="eastAsia"/>
                <w:color w:val="000000" w:themeColor="text1"/>
                <w:szCs w:val="21"/>
              </w:rPr>
              <w:t>成人函授在校生数</w:t>
            </w:r>
            <w:r w:rsidRPr="00490CBD">
              <w:rPr>
                <w:rFonts w:ascii="仿宋_GB2312" w:eastAsia="仿宋_GB2312" w:hAnsi="Times New Roman" w:cs="Times New Roman" w:hint="eastAsia"/>
                <w:color w:val="000000" w:themeColor="text1"/>
                <w:szCs w:val="21"/>
              </w:rPr>
              <w:t>*0.1+</w:t>
            </w:r>
            <w:r w:rsidRPr="00490CBD">
              <w:rPr>
                <w:rFonts w:ascii="仿宋_GB2312" w:eastAsia="仿宋_GB2312" w:hAnsi="仿宋_GB2312" w:cs="Times New Roman" w:hint="eastAsia"/>
                <w:color w:val="000000" w:themeColor="text1"/>
                <w:szCs w:val="21"/>
              </w:rPr>
              <w:t>附设中职班在校生</w:t>
            </w:r>
            <w:r w:rsidRPr="00490CBD">
              <w:rPr>
                <w:rFonts w:ascii="仿宋_GB2312" w:eastAsia="仿宋_GB2312" w:hAnsi="Times New Roman" w:cs="Times New Roman" w:hint="eastAsia"/>
                <w:color w:val="000000" w:themeColor="text1"/>
                <w:szCs w:val="21"/>
              </w:rPr>
              <w:t>*0.75</w:t>
            </w:r>
            <w:r w:rsidRPr="00490CBD">
              <w:rPr>
                <w:rFonts w:ascii="仿宋_GB2312" w:eastAsia="仿宋_GB2312" w:hAnsi="仿宋_GB2312" w:cs="Times New Roman" w:hint="eastAsia"/>
                <w:color w:val="000000" w:themeColor="text1"/>
                <w:szCs w:val="21"/>
              </w:rPr>
              <w:t>。</w:t>
            </w:r>
          </w:p>
          <w:p w14:paraId="5A7A5988"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折合教师数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专任教师数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校外教师数</w:t>
            </w:r>
            <w:r w:rsidRPr="00490CBD">
              <w:rPr>
                <w:rFonts w:ascii="仿宋_GB2312" w:eastAsia="仿宋_GB2312" w:hAnsi="Times New Roman" w:cs="Times New Roman" w:hint="eastAsia"/>
                <w:color w:val="000000" w:themeColor="text1"/>
                <w:szCs w:val="21"/>
              </w:rPr>
              <w:t>*0.5+</w:t>
            </w:r>
            <w:r w:rsidRPr="00490CBD">
              <w:rPr>
                <w:rFonts w:ascii="仿宋_GB2312" w:eastAsia="仿宋_GB2312" w:hAnsi="仿宋_GB2312" w:cs="Times New Roman" w:hint="eastAsia"/>
                <w:color w:val="000000" w:themeColor="text1"/>
                <w:szCs w:val="21"/>
              </w:rPr>
              <w:t>行业导师</w:t>
            </w:r>
            <w:r w:rsidRPr="00490CBD">
              <w:rPr>
                <w:rFonts w:ascii="仿宋_GB2312" w:eastAsia="仿宋_GB2312" w:hAnsi="Times New Roman" w:cs="Times New Roman" w:hint="eastAsia"/>
                <w:color w:val="000000" w:themeColor="text1"/>
                <w:szCs w:val="21"/>
              </w:rPr>
              <w:t>*0.5+</w:t>
            </w:r>
            <w:r w:rsidRPr="00490CBD">
              <w:rPr>
                <w:rFonts w:ascii="仿宋_GB2312" w:eastAsia="仿宋_GB2312" w:hAnsi="仿宋_GB2312" w:cs="Times New Roman" w:hint="eastAsia"/>
                <w:color w:val="000000" w:themeColor="text1"/>
                <w:szCs w:val="21"/>
              </w:rPr>
              <w:t>外籍教师。</w:t>
            </w:r>
          </w:p>
          <w:p w14:paraId="22C9A6EA"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专任教师：是指在学校专职从事教学工作的人员。</w:t>
            </w:r>
          </w:p>
          <w:p w14:paraId="2D151B67"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校外教师：是指聘请外校或外单位具有</w:t>
            </w:r>
            <w:r w:rsidRPr="00490CBD">
              <w:rPr>
                <w:rFonts w:ascii="仿宋_GB2312" w:eastAsia="仿宋_GB2312" w:hAnsi="仿宋_GB2312" w:cs="Times New Roman" w:hint="eastAsia"/>
                <w:color w:val="000000" w:themeColor="text1"/>
                <w:szCs w:val="21"/>
              </w:rPr>
              <w:lastRenderedPageBreak/>
              <w:t>《中华人民共和国教师法》《教师资格条例》规定的高等教育学校教师资格，聘期在一学期以上，从事教学工作的人员。包括其他学校退休教师和本校退休教师。</w:t>
            </w:r>
          </w:p>
          <w:p w14:paraId="1DC90155"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行业导师：是指学校按照聘用流程，聘请的校外行业、企事业单位、科研机构等无教师</w:t>
            </w:r>
            <w:proofErr w:type="gramStart"/>
            <w:r w:rsidRPr="00490CBD">
              <w:rPr>
                <w:rFonts w:ascii="仿宋_GB2312" w:eastAsia="仿宋_GB2312" w:hAnsi="仿宋_GB2312" w:cs="Times New Roman" w:hint="eastAsia"/>
                <w:color w:val="000000" w:themeColor="text1"/>
                <w:szCs w:val="21"/>
              </w:rPr>
              <w:t>资格证但参与</w:t>
            </w:r>
            <w:proofErr w:type="gramEnd"/>
            <w:r w:rsidRPr="00490CBD">
              <w:rPr>
                <w:rFonts w:ascii="仿宋_GB2312" w:eastAsia="仿宋_GB2312" w:hAnsi="仿宋_GB2312" w:cs="Times New Roman" w:hint="eastAsia"/>
                <w:color w:val="000000" w:themeColor="text1"/>
                <w:szCs w:val="21"/>
              </w:rPr>
              <w:t>协助教学工作的高技能人才，聘期为一学期及以上。</w:t>
            </w:r>
          </w:p>
          <w:p w14:paraId="4344D53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外籍教师：是指由学校聘任、取得外国人来华工作许可和工作类居留证件、在学校从事教育教学工作的外籍人员。</w:t>
            </w:r>
          </w:p>
          <w:p w14:paraId="42B4C027"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聘请校外教师和行业导师经折算后计入教师总数，原则上聘请校外教师和行业导师总数不超过专任教师总数的四分之一</w:t>
            </w:r>
          </w:p>
        </w:tc>
      </w:tr>
      <w:tr w:rsidR="009B265A" w:rsidRPr="009B265A" w14:paraId="3151F36E" w14:textId="77777777" w:rsidTr="00A361D2">
        <w:trPr>
          <w:trHeight w:val="303"/>
          <w:jc w:val="center"/>
        </w:trPr>
        <w:tc>
          <w:tcPr>
            <w:tcW w:w="704" w:type="dxa"/>
            <w:tcBorders>
              <w:tl2br w:val="nil"/>
              <w:tr2bl w:val="nil"/>
            </w:tcBorders>
            <w:shd w:val="clear" w:color="auto" w:fill="auto"/>
            <w:vAlign w:val="center"/>
          </w:tcPr>
          <w:p w14:paraId="47423BAB" w14:textId="77777777" w:rsidR="0085757D" w:rsidRPr="00490CBD" w:rsidRDefault="0085757D" w:rsidP="00A47E2D">
            <w:pPr>
              <w:widowControl/>
              <w:numPr>
                <w:ilvl w:val="0"/>
                <w:numId w:val="2"/>
              </w:numPr>
              <w:ind w:left="0" w:firstLine="0"/>
              <w:jc w:val="center"/>
              <w:textAlignment w:val="center"/>
              <w:rPr>
                <w:rFonts w:ascii="仿宋_GB2312" w:eastAsia="仿宋_GB2312" w:hAnsi="Times New Roman" w:cs="Times New Roman" w:hint="eastAsia"/>
                <w:color w:val="000000" w:themeColor="text1"/>
                <w:sz w:val="24"/>
                <w:szCs w:val="18"/>
              </w:rPr>
            </w:pPr>
          </w:p>
        </w:tc>
        <w:tc>
          <w:tcPr>
            <w:tcW w:w="1386" w:type="dxa"/>
            <w:tcBorders>
              <w:tl2br w:val="nil"/>
              <w:tr2bl w:val="nil"/>
            </w:tcBorders>
            <w:shd w:val="clear" w:color="auto" w:fill="auto"/>
            <w:vAlign w:val="center"/>
          </w:tcPr>
          <w:p w14:paraId="52F7E8BC"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具有研究生学位教师占专任教师的比例</w:t>
            </w:r>
          </w:p>
        </w:tc>
        <w:tc>
          <w:tcPr>
            <w:tcW w:w="1276" w:type="dxa"/>
            <w:tcBorders>
              <w:tl2br w:val="nil"/>
              <w:tr2bl w:val="nil"/>
            </w:tcBorders>
            <w:shd w:val="clear" w:color="auto" w:fill="auto"/>
            <w:noWrap/>
            <w:vAlign w:val="center"/>
          </w:tcPr>
          <w:p w14:paraId="0BA8576E"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Times New Roman" w:cs="Times New Roman" w:hint="eastAsia"/>
                <w:color w:val="000000" w:themeColor="text1"/>
                <w:szCs w:val="21"/>
              </w:rPr>
              <w:t>%</w:t>
            </w:r>
          </w:p>
        </w:tc>
        <w:tc>
          <w:tcPr>
            <w:tcW w:w="1559" w:type="dxa"/>
            <w:tcBorders>
              <w:tl2br w:val="nil"/>
              <w:tr2bl w:val="nil"/>
            </w:tcBorders>
            <w:shd w:val="clear" w:color="auto" w:fill="auto"/>
            <w:noWrap/>
            <w:vAlign w:val="center"/>
          </w:tcPr>
          <w:p w14:paraId="542ED65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具有研究生学位专任教师数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专任教师数</w:t>
            </w:r>
          </w:p>
        </w:tc>
        <w:tc>
          <w:tcPr>
            <w:tcW w:w="3727" w:type="dxa"/>
            <w:tcBorders>
              <w:tl2br w:val="nil"/>
              <w:tr2bl w:val="nil"/>
            </w:tcBorders>
            <w:shd w:val="clear" w:color="auto" w:fill="auto"/>
            <w:noWrap/>
            <w:vAlign w:val="center"/>
          </w:tcPr>
          <w:p w14:paraId="23E207CC" w14:textId="77777777" w:rsidR="0085757D" w:rsidRPr="00490CBD" w:rsidRDefault="0085757D" w:rsidP="00A47E2D">
            <w:pPr>
              <w:rPr>
                <w:rFonts w:ascii="仿宋_GB2312" w:eastAsia="仿宋_GB2312" w:hAnsi="Times New Roman" w:cs="Times New Roman" w:hint="eastAsia"/>
                <w:color w:val="000000" w:themeColor="text1"/>
                <w:szCs w:val="21"/>
              </w:rPr>
            </w:pPr>
          </w:p>
        </w:tc>
      </w:tr>
      <w:tr w:rsidR="009B265A" w:rsidRPr="009B265A" w14:paraId="6966AA91" w14:textId="77777777" w:rsidTr="00A361D2">
        <w:trPr>
          <w:trHeight w:val="303"/>
          <w:jc w:val="center"/>
        </w:trPr>
        <w:tc>
          <w:tcPr>
            <w:tcW w:w="704" w:type="dxa"/>
            <w:tcBorders>
              <w:tl2br w:val="nil"/>
              <w:tr2bl w:val="nil"/>
            </w:tcBorders>
            <w:shd w:val="clear" w:color="auto" w:fill="auto"/>
            <w:vAlign w:val="center"/>
          </w:tcPr>
          <w:p w14:paraId="2FF48007" w14:textId="77777777" w:rsidR="0085757D" w:rsidRPr="00490CBD" w:rsidRDefault="0085757D" w:rsidP="00A47E2D">
            <w:pPr>
              <w:widowControl/>
              <w:numPr>
                <w:ilvl w:val="0"/>
                <w:numId w:val="2"/>
              </w:numPr>
              <w:ind w:left="0" w:firstLine="0"/>
              <w:jc w:val="center"/>
              <w:textAlignment w:val="center"/>
              <w:rPr>
                <w:rFonts w:ascii="仿宋_GB2312" w:eastAsia="仿宋_GB2312" w:hAnsi="Times New Roman" w:cs="Times New Roman" w:hint="eastAsia"/>
                <w:color w:val="000000" w:themeColor="text1"/>
                <w:sz w:val="24"/>
                <w:szCs w:val="18"/>
              </w:rPr>
            </w:pPr>
          </w:p>
        </w:tc>
        <w:tc>
          <w:tcPr>
            <w:tcW w:w="1386" w:type="dxa"/>
            <w:tcBorders>
              <w:tl2br w:val="nil"/>
              <w:tr2bl w:val="nil"/>
            </w:tcBorders>
            <w:shd w:val="clear" w:color="auto" w:fill="auto"/>
            <w:vAlign w:val="center"/>
          </w:tcPr>
          <w:p w14:paraId="51E067CE"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w:t>
            </w:r>
            <w:proofErr w:type="gramStart"/>
            <w:r w:rsidRPr="00490CBD">
              <w:rPr>
                <w:rFonts w:ascii="仿宋_GB2312" w:eastAsia="仿宋_GB2312" w:hAnsi="仿宋_GB2312" w:cs="Times New Roman" w:hint="eastAsia"/>
                <w:color w:val="000000" w:themeColor="text1"/>
                <w:kern w:val="0"/>
                <w:szCs w:val="21"/>
              </w:rPr>
              <w:t>均教学</w:t>
            </w:r>
            <w:proofErr w:type="gramEnd"/>
            <w:r w:rsidRPr="00490CBD">
              <w:rPr>
                <w:rFonts w:ascii="仿宋_GB2312" w:eastAsia="仿宋_GB2312" w:hAnsi="仿宋_GB2312" w:cs="Times New Roman" w:hint="eastAsia"/>
                <w:color w:val="000000" w:themeColor="text1"/>
                <w:kern w:val="0"/>
                <w:szCs w:val="21"/>
              </w:rPr>
              <w:t>行政用房面积</w:t>
            </w:r>
          </w:p>
        </w:tc>
        <w:tc>
          <w:tcPr>
            <w:tcW w:w="1276" w:type="dxa"/>
            <w:tcBorders>
              <w:tl2br w:val="nil"/>
              <w:tr2bl w:val="nil"/>
            </w:tcBorders>
            <w:shd w:val="clear" w:color="auto" w:fill="auto"/>
            <w:noWrap/>
            <w:vAlign w:val="center"/>
          </w:tcPr>
          <w:p w14:paraId="28FB2CD1" w14:textId="77777777" w:rsidR="0085757D" w:rsidRPr="00490CBD" w:rsidRDefault="0085757D" w:rsidP="00A47E2D">
            <w:pPr>
              <w:jc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平方米</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1559" w:type="dxa"/>
            <w:tcBorders>
              <w:tl2br w:val="nil"/>
              <w:tr2bl w:val="nil"/>
            </w:tcBorders>
            <w:shd w:val="clear" w:color="auto" w:fill="auto"/>
            <w:noWrap/>
            <w:vAlign w:val="center"/>
          </w:tcPr>
          <w:p w14:paraId="46F325BE"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w:t>
            </w:r>
            <w:r w:rsidRPr="00490CBD">
              <w:rPr>
                <w:rFonts w:ascii="仿宋_GB2312" w:eastAsia="仿宋_GB2312" w:hAnsi="仿宋_GB2312" w:cs="Times New Roman" w:hint="eastAsia"/>
                <w:color w:val="000000" w:themeColor="text1"/>
                <w:kern w:val="0"/>
                <w:szCs w:val="21"/>
              </w:rPr>
              <w:t>教学科研及辅助用房面积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行政用房面积）</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全日制学生数</w:t>
            </w:r>
          </w:p>
        </w:tc>
        <w:tc>
          <w:tcPr>
            <w:tcW w:w="3727" w:type="dxa"/>
            <w:tcBorders>
              <w:tl2br w:val="nil"/>
              <w:tr2bl w:val="nil"/>
            </w:tcBorders>
            <w:shd w:val="clear" w:color="auto" w:fill="auto"/>
            <w:noWrap/>
            <w:vAlign w:val="center"/>
          </w:tcPr>
          <w:p w14:paraId="78FBBF5D"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教学科研及辅助用房：包括教室、图书馆、实验室、实习场所、专用科研用房、体育馆、会堂等。</w:t>
            </w:r>
          </w:p>
          <w:p w14:paraId="6CE94EB7"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行政用房：包括校行政办公用房和学院办公用房。校行政办公用房包括校级党政办公室、会议室、校史室、档案室、文印室、广播室、接待室、网络中心、财务结算中心。</w:t>
            </w:r>
          </w:p>
          <w:p w14:paraId="4D7DAD1A"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全日制学生数：</w:t>
            </w:r>
            <w:r w:rsidRPr="00490CBD">
              <w:rPr>
                <w:rFonts w:ascii="仿宋_GB2312" w:eastAsia="仿宋_GB2312" w:hAnsi="仿宋_GB2312" w:cs="Times New Roman" w:hint="eastAsia"/>
                <w:color w:val="000000" w:themeColor="text1"/>
                <w:kern w:val="0"/>
                <w:szCs w:val="21"/>
              </w:rPr>
              <w:t>普通专科（高职）在校生数</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留学生专科在校生数</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预科生数</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进修生数</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成人脱产班学生数</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本校中职在校生数</w:t>
            </w:r>
          </w:p>
        </w:tc>
      </w:tr>
      <w:tr w:rsidR="009B265A" w:rsidRPr="009B265A" w14:paraId="6C475D0F" w14:textId="77777777" w:rsidTr="00A361D2">
        <w:trPr>
          <w:trHeight w:val="303"/>
          <w:jc w:val="center"/>
        </w:trPr>
        <w:tc>
          <w:tcPr>
            <w:tcW w:w="704" w:type="dxa"/>
            <w:tcBorders>
              <w:tl2br w:val="nil"/>
              <w:tr2bl w:val="nil"/>
            </w:tcBorders>
            <w:shd w:val="clear" w:color="auto" w:fill="auto"/>
            <w:vAlign w:val="center"/>
          </w:tcPr>
          <w:p w14:paraId="22AA5AA3" w14:textId="77777777" w:rsidR="0085757D" w:rsidRPr="00490CBD" w:rsidRDefault="0085757D" w:rsidP="00A47E2D">
            <w:pPr>
              <w:widowControl/>
              <w:numPr>
                <w:ilvl w:val="0"/>
                <w:numId w:val="2"/>
              </w:numPr>
              <w:ind w:left="0" w:firstLine="0"/>
              <w:jc w:val="center"/>
              <w:textAlignment w:val="center"/>
              <w:rPr>
                <w:rFonts w:ascii="仿宋_GB2312" w:eastAsia="仿宋_GB2312" w:hAnsi="Times New Roman" w:cs="Times New Roman" w:hint="eastAsia"/>
                <w:color w:val="000000" w:themeColor="text1"/>
                <w:sz w:val="24"/>
                <w:szCs w:val="18"/>
              </w:rPr>
            </w:pPr>
          </w:p>
        </w:tc>
        <w:tc>
          <w:tcPr>
            <w:tcW w:w="1386" w:type="dxa"/>
            <w:tcBorders>
              <w:tl2br w:val="nil"/>
              <w:tr2bl w:val="nil"/>
            </w:tcBorders>
            <w:shd w:val="clear" w:color="auto" w:fill="auto"/>
            <w:vAlign w:val="center"/>
          </w:tcPr>
          <w:p w14:paraId="7C63F082"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生</w:t>
            </w:r>
            <w:proofErr w:type="gramStart"/>
            <w:r w:rsidRPr="00490CBD">
              <w:rPr>
                <w:rFonts w:ascii="仿宋_GB2312" w:eastAsia="仿宋_GB2312" w:hAnsi="仿宋_GB2312" w:cs="Times New Roman" w:hint="eastAsia"/>
                <w:color w:val="000000" w:themeColor="text1"/>
                <w:kern w:val="0"/>
                <w:szCs w:val="21"/>
              </w:rPr>
              <w:t>均教学</w:t>
            </w:r>
            <w:proofErr w:type="gramEnd"/>
            <w:r w:rsidRPr="00490CBD">
              <w:rPr>
                <w:rFonts w:ascii="仿宋_GB2312" w:eastAsia="仿宋_GB2312" w:hAnsi="仿宋_GB2312" w:cs="Times New Roman" w:hint="eastAsia"/>
                <w:color w:val="000000" w:themeColor="text1"/>
                <w:kern w:val="0"/>
                <w:szCs w:val="21"/>
              </w:rPr>
              <w:t>科研仪器设备值</w:t>
            </w:r>
          </w:p>
        </w:tc>
        <w:tc>
          <w:tcPr>
            <w:tcW w:w="1276" w:type="dxa"/>
            <w:tcBorders>
              <w:tl2br w:val="nil"/>
              <w:tr2bl w:val="nil"/>
            </w:tcBorders>
            <w:shd w:val="clear" w:color="auto" w:fill="auto"/>
            <w:noWrap/>
            <w:vAlign w:val="center"/>
          </w:tcPr>
          <w:p w14:paraId="210EAE8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元</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1559" w:type="dxa"/>
            <w:tcBorders>
              <w:tl2br w:val="nil"/>
              <w:tr2bl w:val="nil"/>
            </w:tcBorders>
            <w:shd w:val="clear" w:color="auto" w:fill="auto"/>
            <w:noWrap/>
            <w:vAlign w:val="center"/>
          </w:tcPr>
          <w:p w14:paraId="4B494754" w14:textId="77777777" w:rsidR="0085757D" w:rsidRPr="00490CBD" w:rsidRDefault="0085757D" w:rsidP="00A47E2D">
            <w:pPr>
              <w:widowControl/>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kern w:val="0"/>
                <w:szCs w:val="21"/>
              </w:rPr>
              <w:t>教学科研仪器设备资产总值</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szCs w:val="21"/>
              </w:rPr>
              <w:t>全日制学生数</w:t>
            </w:r>
          </w:p>
        </w:tc>
        <w:tc>
          <w:tcPr>
            <w:tcW w:w="3727" w:type="dxa"/>
            <w:tcBorders>
              <w:tl2br w:val="nil"/>
              <w:tr2bl w:val="nil"/>
            </w:tcBorders>
            <w:shd w:val="clear" w:color="auto" w:fill="auto"/>
            <w:noWrap/>
            <w:vAlign w:val="center"/>
          </w:tcPr>
          <w:p w14:paraId="554251C2" w14:textId="77777777" w:rsidR="0085757D" w:rsidRPr="00490CBD" w:rsidRDefault="0085757D" w:rsidP="00A47E2D">
            <w:pPr>
              <w:widowControl/>
              <w:jc w:val="left"/>
              <w:textAlignment w:val="cente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教学科研仪器设备：</w:t>
            </w:r>
            <w:r w:rsidRPr="00490CBD">
              <w:rPr>
                <w:rFonts w:ascii="仿宋_GB2312" w:eastAsia="仿宋_GB2312" w:hAnsi="仿宋_GB2312" w:cs="Times New Roman" w:hint="eastAsia"/>
                <w:color w:val="000000" w:themeColor="text1"/>
                <w:kern w:val="0"/>
                <w:szCs w:val="21"/>
              </w:rPr>
              <w:t>使用学校预算经费、科研经费、基建经费、校内部门自筹经费购买或接受捐赠的耐用时间在一年以上，单价</w:t>
            </w:r>
            <w:r w:rsidRPr="00490CBD">
              <w:rPr>
                <w:rFonts w:ascii="仿宋_GB2312" w:eastAsia="仿宋_GB2312" w:hAnsi="Times New Roman" w:cs="Times New Roman" w:hint="eastAsia"/>
                <w:color w:val="000000" w:themeColor="text1"/>
                <w:kern w:val="0"/>
                <w:szCs w:val="21"/>
              </w:rPr>
              <w:t>1000</w:t>
            </w:r>
            <w:r w:rsidRPr="00490CBD">
              <w:rPr>
                <w:rFonts w:ascii="仿宋_GB2312" w:eastAsia="仿宋_GB2312" w:hAnsi="仿宋_GB2312" w:cs="Times New Roman" w:hint="eastAsia"/>
                <w:color w:val="000000" w:themeColor="text1"/>
                <w:kern w:val="0"/>
                <w:szCs w:val="21"/>
              </w:rPr>
              <w:t>元以上的教学、科研仪器设备，均应纳入仪器设备管理范围。主要包括</w:t>
            </w:r>
            <w:r w:rsidRPr="00490CBD">
              <w:rPr>
                <w:rFonts w:ascii="仿宋_GB2312" w:eastAsia="仿宋_GB2312" w:hAnsi="仿宋_GB2312" w:cs="Times New Roman" w:hint="eastAsia"/>
                <w:color w:val="000000" w:themeColor="text1"/>
                <w:szCs w:val="21"/>
              </w:rPr>
              <w:t>学校固定资产中用于教学、科研、实验、实习等仪器设备的资</w:t>
            </w:r>
            <w:r w:rsidRPr="00490CBD">
              <w:rPr>
                <w:rFonts w:ascii="仿宋_GB2312" w:eastAsia="仿宋_GB2312" w:hAnsi="仿宋_GB2312" w:cs="Times New Roman" w:hint="eastAsia"/>
                <w:color w:val="000000" w:themeColor="text1"/>
                <w:szCs w:val="21"/>
              </w:rPr>
              <w:lastRenderedPageBreak/>
              <w:t>产值</w:t>
            </w:r>
          </w:p>
        </w:tc>
      </w:tr>
      <w:tr w:rsidR="0085757D" w:rsidRPr="009B265A" w14:paraId="356C62E4" w14:textId="77777777" w:rsidTr="00A361D2">
        <w:trPr>
          <w:trHeight w:val="303"/>
          <w:jc w:val="center"/>
        </w:trPr>
        <w:tc>
          <w:tcPr>
            <w:tcW w:w="704" w:type="dxa"/>
            <w:tcBorders>
              <w:tl2br w:val="nil"/>
              <w:tr2bl w:val="nil"/>
            </w:tcBorders>
            <w:shd w:val="clear" w:color="auto" w:fill="auto"/>
            <w:vAlign w:val="center"/>
          </w:tcPr>
          <w:p w14:paraId="08CA03A3" w14:textId="77777777" w:rsidR="0085757D" w:rsidRPr="00490CBD" w:rsidRDefault="0085757D" w:rsidP="00A47E2D">
            <w:pPr>
              <w:widowControl/>
              <w:numPr>
                <w:ilvl w:val="0"/>
                <w:numId w:val="2"/>
              </w:numPr>
              <w:ind w:left="0" w:firstLine="0"/>
              <w:jc w:val="center"/>
              <w:textAlignment w:val="center"/>
              <w:rPr>
                <w:rFonts w:ascii="仿宋_GB2312" w:eastAsia="仿宋_GB2312" w:hAnsi="Times New Roman" w:cs="Times New Roman" w:hint="eastAsia"/>
                <w:color w:val="000000" w:themeColor="text1"/>
                <w:sz w:val="24"/>
                <w:szCs w:val="18"/>
              </w:rPr>
            </w:pPr>
          </w:p>
        </w:tc>
        <w:tc>
          <w:tcPr>
            <w:tcW w:w="1386" w:type="dxa"/>
            <w:tcBorders>
              <w:tl2br w:val="nil"/>
              <w:tr2bl w:val="nil"/>
            </w:tcBorders>
            <w:shd w:val="clear" w:color="auto" w:fill="auto"/>
            <w:vAlign w:val="center"/>
          </w:tcPr>
          <w:p w14:paraId="48FA2901" w14:textId="77777777" w:rsidR="0085757D" w:rsidRPr="00490CBD" w:rsidRDefault="0085757D" w:rsidP="00A47E2D">
            <w:pPr>
              <w:widowControl/>
              <w:jc w:val="center"/>
              <w:textAlignment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生均图书</w:t>
            </w:r>
          </w:p>
        </w:tc>
        <w:tc>
          <w:tcPr>
            <w:tcW w:w="1276" w:type="dxa"/>
            <w:tcBorders>
              <w:tl2br w:val="nil"/>
              <w:tr2bl w:val="nil"/>
            </w:tcBorders>
            <w:shd w:val="clear" w:color="auto" w:fill="auto"/>
            <w:noWrap/>
            <w:vAlign w:val="center"/>
          </w:tcPr>
          <w:p w14:paraId="4003EC52" w14:textId="77777777" w:rsidR="0085757D" w:rsidRPr="00490CBD" w:rsidRDefault="0085757D" w:rsidP="00A47E2D">
            <w:pPr>
              <w:jc w:val="center"/>
              <w:rPr>
                <w:rFonts w:ascii="仿宋_GB2312" w:eastAsia="仿宋_GB2312" w:hAnsi="Times New Roman" w:cs="Times New Roman" w:hint="eastAsia"/>
                <w:color w:val="000000" w:themeColor="text1"/>
                <w:kern w:val="0"/>
                <w:szCs w:val="21"/>
              </w:rPr>
            </w:pPr>
            <w:r w:rsidRPr="00490CBD">
              <w:rPr>
                <w:rFonts w:ascii="仿宋_GB2312" w:eastAsia="仿宋_GB2312" w:hAnsi="仿宋_GB2312" w:cs="Times New Roman" w:hint="eastAsia"/>
                <w:color w:val="000000" w:themeColor="text1"/>
                <w:kern w:val="0"/>
                <w:szCs w:val="21"/>
              </w:rPr>
              <w:t>册</w:t>
            </w:r>
            <w:r w:rsidRPr="00490CBD">
              <w:rPr>
                <w:rFonts w:ascii="仿宋_GB2312" w:eastAsia="仿宋_GB2312" w:hAnsi="Times New Roman" w:cs="Times New Roman" w:hint="eastAsia"/>
                <w:color w:val="000000" w:themeColor="text1"/>
                <w:kern w:val="0"/>
                <w:szCs w:val="21"/>
              </w:rPr>
              <w:t>/</w:t>
            </w:r>
            <w:r w:rsidRPr="00490CBD">
              <w:rPr>
                <w:rFonts w:ascii="仿宋_GB2312" w:eastAsia="仿宋_GB2312" w:hAnsi="仿宋_GB2312" w:cs="Times New Roman" w:hint="eastAsia"/>
                <w:color w:val="000000" w:themeColor="text1"/>
                <w:kern w:val="0"/>
                <w:szCs w:val="21"/>
              </w:rPr>
              <w:t>生</w:t>
            </w:r>
          </w:p>
        </w:tc>
        <w:tc>
          <w:tcPr>
            <w:tcW w:w="1559" w:type="dxa"/>
            <w:tcBorders>
              <w:tl2br w:val="nil"/>
              <w:tr2bl w:val="nil"/>
            </w:tcBorders>
            <w:shd w:val="clear" w:color="auto" w:fill="auto"/>
            <w:noWrap/>
            <w:vAlign w:val="center"/>
          </w:tcPr>
          <w:p w14:paraId="718DE146"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图书册数</w:t>
            </w:r>
            <w:r w:rsidRPr="00490CBD">
              <w:rPr>
                <w:rFonts w:ascii="仿宋_GB2312" w:eastAsia="仿宋_GB2312" w:hAnsi="Times New Roman" w:cs="Times New Roman" w:hint="eastAsia"/>
                <w:color w:val="000000" w:themeColor="text1"/>
                <w:szCs w:val="21"/>
              </w:rPr>
              <w:t>/</w:t>
            </w:r>
            <w:r w:rsidRPr="00490CBD">
              <w:rPr>
                <w:rFonts w:ascii="仿宋_GB2312" w:eastAsia="仿宋_GB2312" w:hAnsi="仿宋_GB2312" w:cs="Times New Roman" w:hint="eastAsia"/>
                <w:color w:val="000000" w:themeColor="text1"/>
                <w:szCs w:val="21"/>
              </w:rPr>
              <w:t>折合学生数</w:t>
            </w:r>
          </w:p>
        </w:tc>
        <w:tc>
          <w:tcPr>
            <w:tcW w:w="3727" w:type="dxa"/>
            <w:tcBorders>
              <w:tl2br w:val="nil"/>
              <w:tr2bl w:val="nil"/>
            </w:tcBorders>
            <w:shd w:val="clear" w:color="auto" w:fill="auto"/>
            <w:noWrap/>
            <w:vAlign w:val="center"/>
          </w:tcPr>
          <w:p w14:paraId="6B083250"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图书：包括纸质图书和数字资源。</w:t>
            </w:r>
          </w:p>
          <w:p w14:paraId="347F18E1"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纸质图书：是指学校图书馆及资料室拥有的正式出版的纸质书籍。</w:t>
            </w:r>
          </w:p>
          <w:p w14:paraId="0AEA4649"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数字资源：是指电子图书（包括与图书类似的出版物，如研究报告、会议论文集、标准等）、电子期刊（包括与期刊类似的连续出版物）、学位论文（包括本校原生的和付费购买的学位论文）及音视频（包括自建的和付费购买的音视频资料），试用的数字资源和免费使用的数字资源及随纸本书刊所配的光盘以及非</w:t>
            </w:r>
            <w:proofErr w:type="gramStart"/>
            <w:r w:rsidRPr="00490CBD">
              <w:rPr>
                <w:rFonts w:ascii="仿宋_GB2312" w:eastAsia="仿宋_GB2312" w:hAnsi="仿宋_GB2312" w:cs="Times New Roman" w:hint="eastAsia"/>
                <w:color w:val="000000" w:themeColor="text1"/>
                <w:szCs w:val="21"/>
              </w:rPr>
              <w:t>书资料</w:t>
            </w:r>
            <w:proofErr w:type="gramEnd"/>
            <w:r w:rsidRPr="00490CBD">
              <w:rPr>
                <w:rFonts w:ascii="仿宋_GB2312" w:eastAsia="仿宋_GB2312" w:hAnsi="仿宋_GB2312" w:cs="Times New Roman" w:hint="eastAsia"/>
                <w:color w:val="000000" w:themeColor="text1"/>
                <w:szCs w:val="21"/>
              </w:rPr>
              <w:t>等不作为数字资源计量。</w:t>
            </w:r>
          </w:p>
          <w:p w14:paraId="58970A20" w14:textId="77777777" w:rsidR="0085757D" w:rsidRPr="00490CBD" w:rsidRDefault="0085757D" w:rsidP="00A47E2D">
            <w:pPr>
              <w:rPr>
                <w:rFonts w:ascii="仿宋_GB2312" w:eastAsia="仿宋_GB2312" w:hAnsi="Times New Roman" w:cs="Times New Roman" w:hint="eastAsia"/>
                <w:color w:val="000000" w:themeColor="text1"/>
                <w:szCs w:val="21"/>
              </w:rPr>
            </w:pPr>
            <w:r w:rsidRPr="00490CBD">
              <w:rPr>
                <w:rFonts w:ascii="仿宋_GB2312" w:eastAsia="仿宋_GB2312" w:hAnsi="仿宋_GB2312" w:cs="Times New Roman" w:hint="eastAsia"/>
                <w:color w:val="000000" w:themeColor="text1"/>
                <w:szCs w:val="21"/>
              </w:rPr>
              <w:t>数字资源折合后计入图书资源总量，且所占比例最高不超过图书资源总量的</w:t>
            </w:r>
            <w:r w:rsidRPr="00490CBD">
              <w:rPr>
                <w:rFonts w:ascii="仿宋_GB2312" w:eastAsia="仿宋_GB2312" w:hAnsi="Times New Roman" w:cs="Times New Roman" w:hint="eastAsia"/>
                <w:color w:val="000000" w:themeColor="text1"/>
                <w:szCs w:val="21"/>
              </w:rPr>
              <w:t>40%</w:t>
            </w:r>
          </w:p>
        </w:tc>
      </w:tr>
    </w:tbl>
    <w:p w14:paraId="691075B1" w14:textId="35FAD3F3" w:rsidR="00A361D2" w:rsidRPr="009B265A" w:rsidRDefault="00A361D2" w:rsidP="0085757D">
      <w:pPr>
        <w:spacing w:line="578" w:lineRule="exact"/>
        <w:rPr>
          <w:rFonts w:ascii="仿宋_GB2312" w:eastAsia="仿宋_GB2312"/>
          <w:color w:val="000000" w:themeColor="text1"/>
          <w:sz w:val="32"/>
          <w:szCs w:val="32"/>
        </w:rPr>
      </w:pPr>
    </w:p>
    <w:p w14:paraId="72A1DAA1" w14:textId="5F9DCDD5" w:rsidR="00A361D2" w:rsidRPr="009B265A" w:rsidRDefault="00A361D2">
      <w:pPr>
        <w:widowControl/>
        <w:jc w:val="left"/>
        <w:rPr>
          <w:rFonts w:ascii="仿宋_GB2312" w:eastAsia="仿宋_GB2312"/>
          <w:color w:val="000000" w:themeColor="text1"/>
          <w:sz w:val="32"/>
          <w:szCs w:val="32"/>
        </w:rPr>
      </w:pPr>
    </w:p>
    <w:sectPr w:rsidR="00A361D2" w:rsidRPr="009B265A" w:rsidSect="009B265A">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166D19" w14:textId="77777777" w:rsidR="00524AB9" w:rsidRDefault="00524AB9" w:rsidP="0085757D">
      <w:r>
        <w:separator/>
      </w:r>
    </w:p>
  </w:endnote>
  <w:endnote w:type="continuationSeparator" w:id="0">
    <w:p w14:paraId="1A60E480" w14:textId="77777777" w:rsidR="00524AB9" w:rsidRDefault="00524AB9" w:rsidP="00857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38C833" w14:textId="77777777" w:rsidR="00524AB9" w:rsidRDefault="00524AB9" w:rsidP="0085757D">
      <w:r>
        <w:separator/>
      </w:r>
    </w:p>
  </w:footnote>
  <w:footnote w:type="continuationSeparator" w:id="0">
    <w:p w14:paraId="085AE05B" w14:textId="77777777" w:rsidR="00524AB9" w:rsidRDefault="00524AB9" w:rsidP="0085757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77CF6B"/>
    <w:multiLevelType w:val="singleLevel"/>
    <w:tmpl w:val="9477CF6B"/>
    <w:lvl w:ilvl="0">
      <w:start w:val="1"/>
      <w:numFmt w:val="decimal"/>
      <w:lvlText w:val="%1."/>
      <w:lvlJc w:val="left"/>
      <w:pPr>
        <w:ind w:left="425" w:hanging="425"/>
      </w:pPr>
      <w:rPr>
        <w:rFonts w:hint="default"/>
      </w:rPr>
    </w:lvl>
  </w:abstractNum>
  <w:abstractNum w:abstractNumId="1">
    <w:nsid w:val="551E425C"/>
    <w:multiLevelType w:val="singleLevel"/>
    <w:tmpl w:val="551E425C"/>
    <w:lvl w:ilvl="0">
      <w:start w:val="1"/>
      <w:numFmt w:val="decimal"/>
      <w:lvlText w:val="%1."/>
      <w:lvlJc w:val="left"/>
      <w:pPr>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32E"/>
    <w:rsid w:val="00335E93"/>
    <w:rsid w:val="00490CBD"/>
    <w:rsid w:val="0052432E"/>
    <w:rsid w:val="00524AB9"/>
    <w:rsid w:val="0085757D"/>
    <w:rsid w:val="009235FB"/>
    <w:rsid w:val="009B265A"/>
    <w:rsid w:val="00A361D2"/>
    <w:rsid w:val="00AB0CE9"/>
    <w:rsid w:val="00B532A2"/>
    <w:rsid w:val="00B53E6F"/>
    <w:rsid w:val="00B60028"/>
    <w:rsid w:val="00B9266D"/>
    <w:rsid w:val="00C3299F"/>
    <w:rsid w:val="00C7002A"/>
    <w:rsid w:val="00E018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3E6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qFormat/>
    <w:rsid w:val="00A361D2"/>
    <w:pPr>
      <w:keepNext/>
      <w:keepLines/>
      <w:spacing w:before="260" w:after="260" w:line="416" w:lineRule="auto"/>
      <w:ind w:firstLineChars="200" w:firstLine="880"/>
      <w:outlineLvl w:val="1"/>
    </w:pPr>
    <w:rPr>
      <w:rFonts w:ascii="Calibri Light" w:eastAsia="宋体" w:hAnsi="Calibri Light"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75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757D"/>
    <w:rPr>
      <w:sz w:val="18"/>
      <w:szCs w:val="18"/>
    </w:rPr>
  </w:style>
  <w:style w:type="paragraph" w:styleId="a4">
    <w:name w:val="footer"/>
    <w:basedOn w:val="a"/>
    <w:link w:val="Char0"/>
    <w:uiPriority w:val="99"/>
    <w:unhideWhenUsed/>
    <w:rsid w:val="0085757D"/>
    <w:pPr>
      <w:tabs>
        <w:tab w:val="center" w:pos="4153"/>
        <w:tab w:val="right" w:pos="8306"/>
      </w:tabs>
      <w:snapToGrid w:val="0"/>
      <w:jc w:val="left"/>
    </w:pPr>
    <w:rPr>
      <w:sz w:val="18"/>
      <w:szCs w:val="18"/>
    </w:rPr>
  </w:style>
  <w:style w:type="character" w:customStyle="1" w:styleId="Char0">
    <w:name w:val="页脚 Char"/>
    <w:basedOn w:val="a0"/>
    <w:link w:val="a4"/>
    <w:uiPriority w:val="99"/>
    <w:rsid w:val="0085757D"/>
    <w:rPr>
      <w:sz w:val="18"/>
      <w:szCs w:val="18"/>
    </w:rPr>
  </w:style>
  <w:style w:type="paragraph" w:styleId="a5">
    <w:name w:val="Body Text"/>
    <w:basedOn w:val="a"/>
    <w:link w:val="Char1"/>
    <w:qFormat/>
    <w:rsid w:val="0085757D"/>
    <w:pPr>
      <w:spacing w:after="120" w:line="560" w:lineRule="exact"/>
      <w:ind w:firstLineChars="200" w:firstLine="880"/>
    </w:pPr>
    <w:rPr>
      <w:rFonts w:eastAsia="仿宋_GB2312"/>
      <w:sz w:val="32"/>
      <w:szCs w:val="24"/>
    </w:rPr>
  </w:style>
  <w:style w:type="character" w:customStyle="1" w:styleId="Char1">
    <w:name w:val="正文文本 Char"/>
    <w:basedOn w:val="a0"/>
    <w:link w:val="a5"/>
    <w:rsid w:val="0085757D"/>
    <w:rPr>
      <w:rFonts w:eastAsia="仿宋_GB2312"/>
      <w:sz w:val="32"/>
      <w:szCs w:val="24"/>
    </w:rPr>
  </w:style>
  <w:style w:type="table" w:styleId="a6">
    <w:name w:val="Table Grid"/>
    <w:basedOn w:val="a1"/>
    <w:qFormat/>
    <w:rsid w:val="0085757D"/>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11">
    <w:name w:val="font11"/>
    <w:basedOn w:val="a0"/>
    <w:qFormat/>
    <w:rsid w:val="0085757D"/>
    <w:rPr>
      <w:rFonts w:ascii="宋体" w:eastAsia="宋体" w:hAnsi="宋体" w:cs="宋体" w:hint="eastAsia"/>
      <w:b/>
      <w:bCs/>
      <w:color w:val="000000"/>
      <w:sz w:val="21"/>
      <w:szCs w:val="21"/>
      <w:u w:val="none"/>
    </w:rPr>
  </w:style>
  <w:style w:type="character" w:customStyle="1" w:styleId="2Char">
    <w:name w:val="标题 2 Char"/>
    <w:basedOn w:val="a0"/>
    <w:link w:val="2"/>
    <w:uiPriority w:val="9"/>
    <w:rsid w:val="00A361D2"/>
    <w:rPr>
      <w:rFonts w:ascii="Calibri Light" w:eastAsia="宋体" w:hAnsi="Calibri Light"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qFormat/>
    <w:rsid w:val="00A361D2"/>
    <w:pPr>
      <w:keepNext/>
      <w:keepLines/>
      <w:spacing w:before="260" w:after="260" w:line="416" w:lineRule="auto"/>
      <w:ind w:firstLineChars="200" w:firstLine="880"/>
      <w:outlineLvl w:val="1"/>
    </w:pPr>
    <w:rPr>
      <w:rFonts w:ascii="Calibri Light" w:eastAsia="宋体" w:hAnsi="Calibri Light"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5757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5757D"/>
    <w:rPr>
      <w:sz w:val="18"/>
      <w:szCs w:val="18"/>
    </w:rPr>
  </w:style>
  <w:style w:type="paragraph" w:styleId="a4">
    <w:name w:val="footer"/>
    <w:basedOn w:val="a"/>
    <w:link w:val="Char0"/>
    <w:uiPriority w:val="99"/>
    <w:unhideWhenUsed/>
    <w:rsid w:val="0085757D"/>
    <w:pPr>
      <w:tabs>
        <w:tab w:val="center" w:pos="4153"/>
        <w:tab w:val="right" w:pos="8306"/>
      </w:tabs>
      <w:snapToGrid w:val="0"/>
      <w:jc w:val="left"/>
    </w:pPr>
    <w:rPr>
      <w:sz w:val="18"/>
      <w:szCs w:val="18"/>
    </w:rPr>
  </w:style>
  <w:style w:type="character" w:customStyle="1" w:styleId="Char0">
    <w:name w:val="页脚 Char"/>
    <w:basedOn w:val="a0"/>
    <w:link w:val="a4"/>
    <w:uiPriority w:val="99"/>
    <w:rsid w:val="0085757D"/>
    <w:rPr>
      <w:sz w:val="18"/>
      <w:szCs w:val="18"/>
    </w:rPr>
  </w:style>
  <w:style w:type="paragraph" w:styleId="a5">
    <w:name w:val="Body Text"/>
    <w:basedOn w:val="a"/>
    <w:link w:val="Char1"/>
    <w:qFormat/>
    <w:rsid w:val="0085757D"/>
    <w:pPr>
      <w:spacing w:after="120" w:line="560" w:lineRule="exact"/>
      <w:ind w:firstLineChars="200" w:firstLine="880"/>
    </w:pPr>
    <w:rPr>
      <w:rFonts w:eastAsia="仿宋_GB2312"/>
      <w:sz w:val="32"/>
      <w:szCs w:val="24"/>
    </w:rPr>
  </w:style>
  <w:style w:type="character" w:customStyle="1" w:styleId="Char1">
    <w:name w:val="正文文本 Char"/>
    <w:basedOn w:val="a0"/>
    <w:link w:val="a5"/>
    <w:rsid w:val="0085757D"/>
    <w:rPr>
      <w:rFonts w:eastAsia="仿宋_GB2312"/>
      <w:sz w:val="32"/>
      <w:szCs w:val="24"/>
    </w:rPr>
  </w:style>
  <w:style w:type="table" w:styleId="a6">
    <w:name w:val="Table Grid"/>
    <w:basedOn w:val="a1"/>
    <w:qFormat/>
    <w:rsid w:val="0085757D"/>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11">
    <w:name w:val="font11"/>
    <w:basedOn w:val="a0"/>
    <w:qFormat/>
    <w:rsid w:val="0085757D"/>
    <w:rPr>
      <w:rFonts w:ascii="宋体" w:eastAsia="宋体" w:hAnsi="宋体" w:cs="宋体" w:hint="eastAsia"/>
      <w:b/>
      <w:bCs/>
      <w:color w:val="000000"/>
      <w:sz w:val="21"/>
      <w:szCs w:val="21"/>
      <w:u w:val="none"/>
    </w:rPr>
  </w:style>
  <w:style w:type="character" w:customStyle="1" w:styleId="2Char">
    <w:name w:val="标题 2 Char"/>
    <w:basedOn w:val="a0"/>
    <w:link w:val="2"/>
    <w:uiPriority w:val="9"/>
    <w:rsid w:val="00A361D2"/>
    <w:rPr>
      <w:rFonts w:ascii="Calibri Light" w:eastAsia="宋体" w:hAnsi="Calibri Light"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8</Pages>
  <Words>618</Words>
  <Characters>3523</Characters>
  <Application>Microsoft Office Word</Application>
  <DocSecurity>0</DocSecurity>
  <Lines>29</Lines>
  <Paragraphs>8</Paragraphs>
  <ScaleCrop>false</ScaleCrop>
  <Company/>
  <LinksUpToDate>false</LinksUpToDate>
  <CharactersWithSpaces>4133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JSJYT User</cp:lastModifiedBy>
  <cp:revision>5</cp:revision>
  <dcterms:created xsi:type="dcterms:W3CDTF">2022-11-10T09:32:00Z</dcterms:created>
  <dcterms:modified xsi:type="dcterms:W3CDTF">2022-11-22T00:54:00Z</dcterms:modified>
</cp:coreProperties>
</file>