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97D" w:rsidRDefault="00EF597D" w:rsidP="00EF597D">
      <w:pPr>
        <w:widowControl/>
        <w:jc w:val="left"/>
        <w:rPr>
          <w:rFonts w:ascii="Times New Roman" w:eastAsia="黑体" w:hAnsi="Times New Roman" w:cs="Times New Roman"/>
          <w:kern w:val="32"/>
          <w:sz w:val="32"/>
          <w:szCs w:val="32"/>
          <w:lang w:bidi="ar"/>
        </w:rPr>
      </w:pPr>
      <w:r>
        <w:rPr>
          <w:rFonts w:ascii="Times New Roman" w:eastAsia="黑体" w:hAnsi="Times New Roman" w:cs="Times New Roman"/>
          <w:kern w:val="32"/>
          <w:sz w:val="32"/>
          <w:szCs w:val="32"/>
          <w:lang w:bidi="ar"/>
        </w:rPr>
        <w:t>附件</w:t>
      </w:r>
    </w:p>
    <w:p w:rsidR="00EF597D" w:rsidRDefault="00EF597D" w:rsidP="00EF597D">
      <w:pPr>
        <w:widowControl/>
        <w:spacing w:line="560" w:lineRule="exact"/>
        <w:rPr>
          <w:rFonts w:ascii="Times New Roman" w:eastAsia="方正仿宋_GBK" w:hAnsi="Times New Roman" w:cs="Times New Roman"/>
          <w:kern w:val="32"/>
          <w:sz w:val="32"/>
          <w:szCs w:val="32"/>
          <w:lang w:bidi="ar"/>
        </w:rPr>
      </w:pPr>
    </w:p>
    <w:p w:rsidR="00EF597D" w:rsidRDefault="00EF597D" w:rsidP="00EF597D">
      <w:pPr>
        <w:widowControl/>
        <w:spacing w:line="560" w:lineRule="exact"/>
        <w:jc w:val="center"/>
        <w:rPr>
          <w:rFonts w:ascii="Times New Roman" w:eastAsia="方正小标宋_GBK" w:hAnsi="Times New Roman" w:cs="Times New Roman"/>
          <w:kern w:val="32"/>
          <w:sz w:val="44"/>
          <w:szCs w:val="44"/>
          <w:lang w:bidi="ar"/>
        </w:rPr>
      </w:pPr>
      <w:r>
        <w:rPr>
          <w:rFonts w:ascii="Times New Roman" w:eastAsia="方正小标宋_GBK" w:hAnsi="Times New Roman" w:cs="Times New Roman" w:hint="eastAsia"/>
          <w:kern w:val="32"/>
          <w:sz w:val="44"/>
          <w:szCs w:val="44"/>
          <w:lang w:bidi="ar"/>
        </w:rPr>
        <w:t>2025</w:t>
      </w:r>
      <w:r>
        <w:rPr>
          <w:rFonts w:ascii="Times New Roman" w:eastAsia="方正小标宋_GBK" w:hAnsi="Times New Roman" w:cs="Times New Roman" w:hint="eastAsia"/>
          <w:kern w:val="32"/>
          <w:sz w:val="44"/>
          <w:szCs w:val="44"/>
          <w:lang w:bidi="ar"/>
        </w:rPr>
        <w:t>年江苏省博士硕士学位授予点</w:t>
      </w:r>
    </w:p>
    <w:p w:rsidR="00EF597D" w:rsidRDefault="00EF597D" w:rsidP="00EF597D">
      <w:pPr>
        <w:widowControl/>
        <w:spacing w:line="560" w:lineRule="exact"/>
        <w:jc w:val="center"/>
        <w:rPr>
          <w:rFonts w:ascii="Times New Roman" w:eastAsia="方正小标宋_GBK" w:hAnsi="Times New Roman" w:cs="Times New Roman"/>
          <w:kern w:val="32"/>
          <w:sz w:val="44"/>
          <w:szCs w:val="44"/>
          <w:lang w:bidi="ar"/>
        </w:rPr>
      </w:pPr>
      <w:r>
        <w:rPr>
          <w:rFonts w:ascii="Times New Roman" w:eastAsia="方正小标宋_GBK" w:hAnsi="Times New Roman" w:cs="Times New Roman" w:hint="eastAsia"/>
          <w:kern w:val="32"/>
          <w:sz w:val="44"/>
          <w:szCs w:val="44"/>
          <w:lang w:bidi="ar"/>
        </w:rPr>
        <w:t>动态调整拟增设名单</w:t>
      </w:r>
    </w:p>
    <w:p w:rsidR="00EF597D" w:rsidRDefault="00EF597D" w:rsidP="00EF597D">
      <w:pPr>
        <w:widowControl/>
        <w:spacing w:line="560" w:lineRule="exact"/>
        <w:jc w:val="center"/>
        <w:rPr>
          <w:rFonts w:ascii="楷体" w:eastAsia="楷体" w:hAnsi="楷体" w:cs="楷体"/>
          <w:kern w:val="32"/>
          <w:sz w:val="32"/>
          <w:szCs w:val="32"/>
          <w:lang w:bidi="ar"/>
        </w:rPr>
      </w:pPr>
      <w:r>
        <w:rPr>
          <w:rFonts w:ascii="楷体" w:eastAsia="楷体" w:hAnsi="楷体" w:cs="楷体" w:hint="eastAsia"/>
          <w:kern w:val="32"/>
          <w:sz w:val="32"/>
          <w:szCs w:val="32"/>
          <w:lang w:bidi="ar"/>
        </w:rPr>
        <w:t>按单位代码排序</w:t>
      </w:r>
    </w:p>
    <w:p w:rsidR="00EF597D" w:rsidRDefault="00EF597D" w:rsidP="00EF597D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tbl>
      <w:tblPr>
        <w:tblW w:w="8377" w:type="dxa"/>
        <w:jc w:val="center"/>
        <w:tblInd w:w="91" w:type="dxa"/>
        <w:tblLook w:val="04A0" w:firstRow="1" w:lastRow="0" w:firstColumn="1" w:lastColumn="0" w:noHBand="0" w:noVBand="1"/>
      </w:tblPr>
      <w:tblGrid>
        <w:gridCol w:w="2339"/>
        <w:gridCol w:w="3104"/>
        <w:gridCol w:w="2934"/>
      </w:tblGrid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学位授予点名称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学位授权点层次和类别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苏州大学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生物与医药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专业学位博士点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苏州大学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智能科学与技术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一级学科硕士点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南京航空航天大学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区域国别学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一级学科硕士点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中国矿业大学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智能科学与技术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一级学科硕士点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南京信息工程大学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马克思主义理论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一级学科博士点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南京农业大学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体育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专业学位硕士点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江苏师范大学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工商管理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专业学位硕士点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江苏师范大学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智能科学与技术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一级学科硕士点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江苏师范大学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区域国别学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一级学科硕士点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盐城师范学院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能源动力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专业学位硕士点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江苏警官学院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国家安全学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一级学科硕士点</w:t>
            </w:r>
          </w:p>
        </w:tc>
      </w:tr>
      <w:tr w:rsidR="00EF597D" w:rsidTr="00EF597D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扬州大学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应用统计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97D" w:rsidRDefault="00EF597D" w:rsidP="007600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专业学位硕士点</w:t>
            </w:r>
          </w:p>
        </w:tc>
      </w:tr>
      <w:bookmarkEnd w:id="0"/>
    </w:tbl>
    <w:p w:rsidR="00C9091C" w:rsidRDefault="00C9091C"/>
    <w:sectPr w:rsidR="00C9091C" w:rsidSect="00EF597D">
      <w:pgSz w:w="11906" w:h="16838"/>
      <w:pgMar w:top="1304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97D" w:rsidRDefault="00EF597D" w:rsidP="00EF597D">
      <w:r>
        <w:separator/>
      </w:r>
    </w:p>
  </w:endnote>
  <w:endnote w:type="continuationSeparator" w:id="0">
    <w:p w:rsidR="00EF597D" w:rsidRDefault="00EF597D" w:rsidP="00EF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97D" w:rsidRDefault="00EF597D" w:rsidP="00EF597D">
      <w:r>
        <w:separator/>
      </w:r>
    </w:p>
  </w:footnote>
  <w:footnote w:type="continuationSeparator" w:id="0">
    <w:p w:rsidR="00EF597D" w:rsidRDefault="00EF597D" w:rsidP="00EF5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987"/>
    <w:rsid w:val="00305987"/>
    <w:rsid w:val="00C9091C"/>
    <w:rsid w:val="00E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59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5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59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59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5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59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>JSJYT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2025-11-21T08:53:00Z</dcterms:created>
  <dcterms:modified xsi:type="dcterms:W3CDTF">2025-11-21T08:54:00Z</dcterms:modified>
</cp:coreProperties>
</file>