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8E0" w:rsidRPr="00345499" w:rsidRDefault="005B78E0" w:rsidP="005B78E0">
      <w:pPr>
        <w:spacing w:line="560" w:lineRule="exact"/>
        <w:jc w:val="left"/>
        <w:rPr>
          <w:rFonts w:eastAsia="黑体"/>
          <w:sz w:val="32"/>
          <w:szCs w:val="32"/>
        </w:rPr>
      </w:pPr>
      <w:r w:rsidRPr="00345499">
        <w:rPr>
          <w:rFonts w:eastAsia="黑体"/>
          <w:sz w:val="32"/>
          <w:szCs w:val="32"/>
        </w:rPr>
        <w:t>附件</w:t>
      </w:r>
      <w:r w:rsidRPr="00345499">
        <w:rPr>
          <w:rFonts w:eastAsia="黑体"/>
          <w:sz w:val="32"/>
          <w:szCs w:val="32"/>
        </w:rPr>
        <w:t>3</w:t>
      </w:r>
    </w:p>
    <w:p w:rsidR="005B78E0" w:rsidRPr="00345499" w:rsidRDefault="005B78E0" w:rsidP="005B78E0">
      <w:pPr>
        <w:pStyle w:val="a3"/>
        <w:spacing w:before="0" w:beforeAutospacing="0" w:after="0" w:afterAutospacing="0" w:line="560" w:lineRule="exact"/>
        <w:jc w:val="center"/>
        <w:rPr>
          <w:rFonts w:ascii="Times New Roman" w:eastAsia="华文中宋" w:hAnsi="Times New Roman" w:cs="Times New Roman"/>
          <w:b/>
          <w:snapToGrid w:val="0"/>
          <w:sz w:val="44"/>
          <w:szCs w:val="44"/>
        </w:rPr>
      </w:pPr>
      <w:r w:rsidRPr="00345499">
        <w:rPr>
          <w:rFonts w:ascii="Times New Roman" w:eastAsia="华文中宋" w:hAnsi="Times New Roman" w:cs="Times New Roman"/>
          <w:b/>
          <w:snapToGrid w:val="0"/>
          <w:sz w:val="44"/>
          <w:szCs w:val="44"/>
        </w:rPr>
        <w:t>江苏省幼儿园课程游戏化项目</w:t>
      </w:r>
    </w:p>
    <w:p w:rsidR="005B78E0" w:rsidRPr="00345499" w:rsidRDefault="005B78E0" w:rsidP="005B78E0">
      <w:pPr>
        <w:pStyle w:val="a3"/>
        <w:spacing w:before="0" w:beforeAutospacing="0" w:after="0" w:afterAutospacing="0" w:line="560" w:lineRule="exact"/>
        <w:jc w:val="center"/>
        <w:rPr>
          <w:rFonts w:ascii="Times New Roman" w:eastAsia="华文中宋" w:hAnsi="Times New Roman" w:cs="Times New Roman"/>
          <w:b/>
          <w:snapToGrid w:val="0"/>
          <w:sz w:val="44"/>
          <w:szCs w:val="44"/>
        </w:rPr>
      </w:pPr>
      <w:r w:rsidRPr="00345499">
        <w:rPr>
          <w:rFonts w:ascii="Times New Roman" w:eastAsia="华文中宋" w:hAnsi="Times New Roman" w:cs="Times New Roman"/>
          <w:b/>
          <w:snapToGrid w:val="0"/>
          <w:sz w:val="44"/>
          <w:szCs w:val="44"/>
        </w:rPr>
        <w:t>（</w:t>
      </w:r>
      <w:r w:rsidRPr="00345499">
        <w:rPr>
          <w:rFonts w:ascii="Times New Roman" w:eastAsia="华文中宋" w:hAnsi="Times New Roman" w:cs="Times New Roman"/>
          <w:b/>
          <w:snapToGrid w:val="0"/>
          <w:sz w:val="44"/>
          <w:szCs w:val="44"/>
        </w:rPr>
        <w:t>2016</w:t>
      </w:r>
      <w:r w:rsidRPr="00345499">
        <w:rPr>
          <w:rFonts w:ascii="Times New Roman" w:eastAsia="华文中宋" w:hAnsi="Times New Roman" w:cs="Times New Roman"/>
          <w:b/>
          <w:snapToGrid w:val="0"/>
          <w:sz w:val="44"/>
          <w:szCs w:val="44"/>
        </w:rPr>
        <w:t>年立项）视导报告和等级评定结果</w:t>
      </w:r>
    </w:p>
    <w:p w:rsidR="005B78E0" w:rsidRPr="00345499" w:rsidRDefault="005B78E0" w:rsidP="005B78E0">
      <w:pPr>
        <w:spacing w:line="560" w:lineRule="exact"/>
        <w:ind w:firstLineChars="200" w:firstLine="640"/>
        <w:rPr>
          <w:rFonts w:eastAsia="仿宋"/>
          <w:color w:val="000000"/>
          <w:sz w:val="32"/>
          <w:szCs w:val="32"/>
        </w:rPr>
      </w:pPr>
      <w:r w:rsidRPr="00345499">
        <w:rPr>
          <w:rFonts w:eastAsia="仿宋"/>
          <w:color w:val="000000"/>
          <w:sz w:val="32"/>
          <w:szCs w:val="32"/>
        </w:rPr>
        <w:t>受省教育厅委托，</w:t>
      </w:r>
      <w:r w:rsidRPr="00345499">
        <w:rPr>
          <w:rFonts w:eastAsia="仿宋"/>
          <w:color w:val="000000"/>
          <w:sz w:val="32"/>
          <w:szCs w:val="32"/>
        </w:rPr>
        <w:t>2018</w:t>
      </w:r>
      <w:r w:rsidRPr="00345499">
        <w:rPr>
          <w:rFonts w:eastAsia="仿宋"/>
          <w:color w:val="000000"/>
          <w:sz w:val="32"/>
          <w:szCs w:val="32"/>
        </w:rPr>
        <w:t>年</w:t>
      </w:r>
      <w:r w:rsidRPr="00345499">
        <w:rPr>
          <w:rFonts w:eastAsia="仿宋"/>
          <w:color w:val="000000"/>
          <w:sz w:val="32"/>
          <w:szCs w:val="32"/>
        </w:rPr>
        <w:t>1</w:t>
      </w:r>
      <w:r w:rsidRPr="00345499">
        <w:rPr>
          <w:rFonts w:eastAsia="仿宋"/>
          <w:color w:val="000000"/>
          <w:sz w:val="32"/>
          <w:szCs w:val="32"/>
        </w:rPr>
        <w:t>月</w:t>
      </w:r>
      <w:r w:rsidRPr="00345499">
        <w:rPr>
          <w:rFonts w:eastAsia="仿宋"/>
          <w:color w:val="000000"/>
          <w:sz w:val="32"/>
          <w:szCs w:val="32"/>
        </w:rPr>
        <w:t>2</w:t>
      </w:r>
      <w:r w:rsidRPr="00345499">
        <w:rPr>
          <w:rFonts w:eastAsia="仿宋"/>
          <w:color w:val="000000"/>
          <w:sz w:val="32"/>
          <w:szCs w:val="32"/>
        </w:rPr>
        <w:t>至</w:t>
      </w:r>
      <w:r w:rsidRPr="00345499">
        <w:rPr>
          <w:rFonts w:eastAsia="仿宋"/>
          <w:color w:val="000000"/>
          <w:sz w:val="32"/>
          <w:szCs w:val="32"/>
        </w:rPr>
        <w:t>5</w:t>
      </w:r>
      <w:r w:rsidRPr="00345499">
        <w:rPr>
          <w:rFonts w:eastAsia="仿宋"/>
          <w:color w:val="000000"/>
          <w:sz w:val="32"/>
          <w:szCs w:val="32"/>
        </w:rPr>
        <w:t>日省学前教育</w:t>
      </w:r>
      <w:proofErr w:type="gramStart"/>
      <w:r w:rsidRPr="00345499">
        <w:rPr>
          <w:rFonts w:eastAsia="仿宋"/>
          <w:color w:val="000000"/>
          <w:sz w:val="32"/>
          <w:szCs w:val="32"/>
        </w:rPr>
        <w:t>研</w:t>
      </w:r>
      <w:proofErr w:type="gramEnd"/>
      <w:r w:rsidRPr="00345499">
        <w:rPr>
          <w:rFonts w:eastAsia="仿宋"/>
          <w:color w:val="000000"/>
          <w:sz w:val="32"/>
          <w:szCs w:val="32"/>
        </w:rPr>
        <w:t>学中心组织</w:t>
      </w:r>
      <w:r w:rsidRPr="00345499">
        <w:rPr>
          <w:rFonts w:eastAsia="仿宋"/>
          <w:color w:val="000000"/>
          <w:sz w:val="32"/>
          <w:szCs w:val="32"/>
        </w:rPr>
        <w:t>35</w:t>
      </w:r>
      <w:r w:rsidRPr="00345499">
        <w:rPr>
          <w:rFonts w:eastAsia="仿宋"/>
          <w:color w:val="000000"/>
          <w:sz w:val="32"/>
          <w:szCs w:val="32"/>
        </w:rPr>
        <w:t>位专家（包括部分有经验的园长和教研员），对</w:t>
      </w:r>
      <w:r w:rsidRPr="00345499">
        <w:rPr>
          <w:rFonts w:eastAsia="仿宋"/>
          <w:color w:val="000000"/>
          <w:sz w:val="32"/>
          <w:szCs w:val="32"/>
        </w:rPr>
        <w:t>2016</w:t>
      </w:r>
      <w:r w:rsidRPr="00345499">
        <w:rPr>
          <w:rFonts w:eastAsia="仿宋"/>
          <w:color w:val="000000"/>
          <w:sz w:val="32"/>
          <w:szCs w:val="32"/>
        </w:rPr>
        <w:t>年立项的全省第三批</w:t>
      </w:r>
      <w:r w:rsidRPr="00345499">
        <w:rPr>
          <w:rFonts w:eastAsia="仿宋"/>
          <w:color w:val="000000"/>
          <w:sz w:val="32"/>
          <w:szCs w:val="32"/>
        </w:rPr>
        <w:t>47</w:t>
      </w:r>
      <w:r w:rsidRPr="00345499">
        <w:rPr>
          <w:rFonts w:eastAsia="仿宋"/>
          <w:color w:val="000000"/>
          <w:sz w:val="32"/>
          <w:szCs w:val="32"/>
        </w:rPr>
        <w:t>所省课程游戏化项目幼儿园进行现场视导。专家们通过听取汇报、现场观摩、审阅材料、焦点访谈等形式，全面了解各地课程游戏化项目进展情况，就现场发现的问题耐心细致地进行有针对性地反馈和指导。因视</w:t>
      </w:r>
      <w:proofErr w:type="gramStart"/>
      <w:r w:rsidRPr="00345499">
        <w:rPr>
          <w:rFonts w:eastAsia="仿宋"/>
          <w:color w:val="000000"/>
          <w:sz w:val="32"/>
          <w:szCs w:val="32"/>
        </w:rPr>
        <w:t>导期间</w:t>
      </w:r>
      <w:proofErr w:type="gramEnd"/>
      <w:r w:rsidRPr="00345499">
        <w:rPr>
          <w:rFonts w:eastAsia="仿宋"/>
          <w:color w:val="000000"/>
          <w:sz w:val="32"/>
          <w:szCs w:val="32"/>
        </w:rPr>
        <w:t>苏北暴雪学校放假，未能查看个别</w:t>
      </w:r>
      <w:proofErr w:type="gramStart"/>
      <w:r w:rsidRPr="00345499">
        <w:rPr>
          <w:rFonts w:eastAsia="仿宋"/>
          <w:color w:val="000000"/>
          <w:sz w:val="32"/>
          <w:szCs w:val="32"/>
        </w:rPr>
        <w:t>项目园</w:t>
      </w:r>
      <w:proofErr w:type="gramEnd"/>
      <w:r w:rsidRPr="00345499">
        <w:rPr>
          <w:rFonts w:eastAsia="仿宋"/>
          <w:color w:val="000000"/>
          <w:sz w:val="32"/>
          <w:szCs w:val="32"/>
        </w:rPr>
        <w:t>的活动现场。现将今年</w:t>
      </w:r>
      <w:proofErr w:type="gramStart"/>
      <w:r w:rsidRPr="00345499">
        <w:rPr>
          <w:rFonts w:eastAsia="仿宋"/>
          <w:color w:val="000000"/>
          <w:sz w:val="32"/>
          <w:szCs w:val="32"/>
        </w:rPr>
        <w:t>项目园视导情况</w:t>
      </w:r>
      <w:proofErr w:type="gramEnd"/>
      <w:r w:rsidRPr="00345499">
        <w:rPr>
          <w:rFonts w:eastAsia="仿宋"/>
          <w:color w:val="000000"/>
          <w:sz w:val="32"/>
          <w:szCs w:val="32"/>
        </w:rPr>
        <w:t>总结如下：</w:t>
      </w:r>
    </w:p>
    <w:p w:rsidR="005B78E0" w:rsidRPr="00345499" w:rsidRDefault="005B78E0" w:rsidP="005B78E0">
      <w:pPr>
        <w:spacing w:line="560" w:lineRule="exact"/>
        <w:ind w:firstLine="640"/>
        <w:rPr>
          <w:rFonts w:eastAsia="黑体"/>
          <w:b/>
          <w:kern w:val="0"/>
          <w:sz w:val="32"/>
          <w:szCs w:val="32"/>
        </w:rPr>
      </w:pPr>
      <w:r w:rsidRPr="00345499">
        <w:rPr>
          <w:rFonts w:eastAsia="黑体"/>
          <w:b/>
          <w:kern w:val="0"/>
          <w:sz w:val="32"/>
          <w:szCs w:val="32"/>
        </w:rPr>
        <w:t>一、第三批课程游戏化项目实施经验与成效</w:t>
      </w:r>
    </w:p>
    <w:p w:rsidR="005B78E0" w:rsidRPr="00345499" w:rsidRDefault="005B78E0" w:rsidP="005B78E0">
      <w:pPr>
        <w:spacing w:line="560" w:lineRule="exact"/>
        <w:ind w:firstLineChars="200" w:firstLine="640"/>
        <w:rPr>
          <w:rFonts w:eastAsia="仿宋"/>
          <w:kern w:val="0"/>
          <w:sz w:val="32"/>
          <w:szCs w:val="32"/>
        </w:rPr>
      </w:pPr>
      <w:r w:rsidRPr="00345499">
        <w:rPr>
          <w:rFonts w:eastAsia="仿宋"/>
          <w:bCs/>
          <w:color w:val="000000"/>
          <w:sz w:val="32"/>
          <w:szCs w:val="32"/>
        </w:rPr>
        <w:t>由于可以借鉴前两批项目建设的经验，加上今年各地课程游戏化项目区域整体推进的氛围良好，第三批</w:t>
      </w:r>
      <w:proofErr w:type="gramStart"/>
      <w:r w:rsidRPr="00345499">
        <w:rPr>
          <w:rFonts w:eastAsia="仿宋"/>
          <w:bCs/>
          <w:color w:val="000000"/>
          <w:sz w:val="32"/>
          <w:szCs w:val="32"/>
        </w:rPr>
        <w:t>项目园</w:t>
      </w:r>
      <w:proofErr w:type="gramEnd"/>
      <w:r w:rsidRPr="00345499">
        <w:rPr>
          <w:rFonts w:eastAsia="仿宋"/>
          <w:bCs/>
          <w:color w:val="000000"/>
          <w:sz w:val="32"/>
          <w:szCs w:val="32"/>
        </w:rPr>
        <w:t>对课程游戏化理念的理解更到位，项目建设的目标更明确，且能因地制宜地找准项目建设的切入点，项目</w:t>
      </w:r>
      <w:r w:rsidRPr="00345499">
        <w:rPr>
          <w:rFonts w:eastAsia="仿宋"/>
          <w:color w:val="000000"/>
          <w:sz w:val="32"/>
          <w:szCs w:val="32"/>
        </w:rPr>
        <w:t>实施</w:t>
      </w:r>
      <w:r w:rsidRPr="00345499">
        <w:rPr>
          <w:rFonts w:eastAsia="仿宋"/>
          <w:bCs/>
          <w:color w:val="000000"/>
          <w:sz w:val="32"/>
          <w:szCs w:val="32"/>
        </w:rPr>
        <w:t>阶段性</w:t>
      </w:r>
      <w:r w:rsidRPr="00345499">
        <w:rPr>
          <w:rFonts w:eastAsia="仿宋"/>
          <w:color w:val="000000"/>
          <w:sz w:val="32"/>
          <w:szCs w:val="32"/>
        </w:rPr>
        <w:t>水平总体高于前两批。</w:t>
      </w:r>
    </w:p>
    <w:p w:rsidR="005B78E0" w:rsidRPr="00345499" w:rsidRDefault="005B78E0" w:rsidP="005B78E0">
      <w:pPr>
        <w:numPr>
          <w:ilvl w:val="0"/>
          <w:numId w:val="1"/>
        </w:numPr>
        <w:tabs>
          <w:tab w:val="left" w:pos="1134"/>
        </w:tabs>
        <w:spacing w:line="560" w:lineRule="exact"/>
        <w:ind w:left="0" w:firstLine="640"/>
        <w:rPr>
          <w:rFonts w:eastAsia="仿宋"/>
          <w:kern w:val="0"/>
          <w:sz w:val="32"/>
          <w:szCs w:val="32"/>
        </w:rPr>
      </w:pPr>
      <w:r w:rsidRPr="00345499">
        <w:rPr>
          <w:rFonts w:eastAsia="楷体"/>
          <w:b/>
          <w:kern w:val="0"/>
          <w:sz w:val="32"/>
          <w:szCs w:val="32"/>
        </w:rPr>
        <w:t>以系统思维推进项目，以质量提升为旨归。</w:t>
      </w:r>
      <w:r w:rsidRPr="00345499">
        <w:rPr>
          <w:rFonts w:eastAsia="仿宋"/>
          <w:kern w:val="0"/>
          <w:sz w:val="32"/>
          <w:szCs w:val="32"/>
        </w:rPr>
        <w:t>视导发现，项目实施成效显著的地区都将课程游戏化项目建设视作一项旨在推动一个地区的学前教育质量提升的质量工程，引导幼儿园朝着对现有课程进行提升、改造和完善的方向努力。很多地区的工作重心不再仅仅落在几所省项目园，而是</w:t>
      </w:r>
      <w:r w:rsidRPr="00345499">
        <w:rPr>
          <w:rFonts w:eastAsia="仿宋"/>
          <w:sz w:val="32"/>
          <w:szCs w:val="32"/>
        </w:rPr>
        <w:t>建立起省、市、县区三级联动的课程游戏化项目建设机制，以省级项目建设为示范，以县区级项目为基础，逐级培育。</w:t>
      </w:r>
      <w:r w:rsidRPr="00345499">
        <w:rPr>
          <w:rFonts w:eastAsia="仿宋"/>
          <w:kern w:val="0"/>
          <w:sz w:val="32"/>
          <w:szCs w:val="32"/>
        </w:rPr>
        <w:t>由点</w:t>
      </w:r>
      <w:r w:rsidRPr="00345499">
        <w:rPr>
          <w:rFonts w:eastAsia="仿宋"/>
          <w:kern w:val="0"/>
          <w:sz w:val="32"/>
          <w:szCs w:val="32"/>
        </w:rPr>
        <w:lastRenderedPageBreak/>
        <w:t>及面地借助课程游戏化项目建设的星星之火，形成切实提高本地区幼儿园保教质量的燎原之势</w:t>
      </w:r>
      <w:r w:rsidRPr="00345499">
        <w:rPr>
          <w:rFonts w:eastAsia="仿宋"/>
          <w:sz w:val="32"/>
          <w:szCs w:val="32"/>
        </w:rPr>
        <w:t>。例如，连云港、</w:t>
      </w:r>
      <w:r w:rsidRPr="00345499">
        <w:rPr>
          <w:rFonts w:eastAsia="仿宋"/>
          <w:kern w:val="0"/>
          <w:sz w:val="32"/>
          <w:szCs w:val="32"/>
        </w:rPr>
        <w:t>徐州等市政府将推进课程游戏化纳入区县政府的考核项目，在</w:t>
      </w:r>
      <w:r w:rsidRPr="00345499">
        <w:rPr>
          <w:rFonts w:eastAsia="仿宋"/>
          <w:kern w:val="0"/>
          <w:sz w:val="32"/>
          <w:szCs w:val="32"/>
        </w:rPr>
        <w:t>“</w:t>
      </w:r>
      <w:r w:rsidRPr="00345499">
        <w:rPr>
          <w:rFonts w:eastAsia="仿宋"/>
          <w:kern w:val="0"/>
          <w:sz w:val="32"/>
          <w:szCs w:val="32"/>
        </w:rPr>
        <w:t>十三五</w:t>
      </w:r>
      <w:r w:rsidRPr="00345499">
        <w:rPr>
          <w:rFonts w:eastAsia="仿宋"/>
          <w:kern w:val="0"/>
          <w:sz w:val="32"/>
          <w:szCs w:val="32"/>
        </w:rPr>
        <w:t>”</w:t>
      </w:r>
      <w:r w:rsidRPr="00345499">
        <w:rPr>
          <w:rFonts w:eastAsia="仿宋"/>
          <w:kern w:val="0"/>
          <w:sz w:val="32"/>
          <w:szCs w:val="32"/>
        </w:rPr>
        <w:t>规划中确立了</w:t>
      </w:r>
      <w:r w:rsidRPr="00345499">
        <w:rPr>
          <w:rFonts w:eastAsia="仿宋"/>
          <w:kern w:val="0"/>
          <w:sz w:val="32"/>
          <w:szCs w:val="32"/>
        </w:rPr>
        <w:t>“</w:t>
      </w:r>
      <w:r w:rsidRPr="00345499">
        <w:rPr>
          <w:rFonts w:eastAsia="仿宋"/>
          <w:kern w:val="0"/>
          <w:sz w:val="32"/>
          <w:szCs w:val="32"/>
        </w:rPr>
        <w:t>到</w:t>
      </w:r>
      <w:r w:rsidRPr="00345499">
        <w:rPr>
          <w:rFonts w:eastAsia="仿宋"/>
          <w:kern w:val="0"/>
          <w:sz w:val="32"/>
          <w:szCs w:val="32"/>
        </w:rPr>
        <w:t>2020</w:t>
      </w:r>
      <w:r w:rsidRPr="00345499">
        <w:rPr>
          <w:rFonts w:eastAsia="仿宋"/>
          <w:kern w:val="0"/>
          <w:sz w:val="32"/>
          <w:szCs w:val="32"/>
        </w:rPr>
        <w:t>年全市每个乡镇创建</w:t>
      </w:r>
      <w:r w:rsidRPr="00345499">
        <w:rPr>
          <w:rFonts w:eastAsia="仿宋"/>
          <w:kern w:val="0"/>
          <w:sz w:val="32"/>
          <w:szCs w:val="32"/>
        </w:rPr>
        <w:t>1</w:t>
      </w:r>
      <w:r w:rsidRPr="00345499">
        <w:rPr>
          <w:rFonts w:eastAsia="仿宋"/>
          <w:kern w:val="0"/>
          <w:sz w:val="32"/>
          <w:szCs w:val="32"/>
        </w:rPr>
        <w:t>个区县级以上的课程游戏化项目</w:t>
      </w:r>
      <w:r w:rsidRPr="00345499">
        <w:rPr>
          <w:rFonts w:eastAsia="仿宋"/>
          <w:kern w:val="0"/>
          <w:sz w:val="32"/>
          <w:szCs w:val="32"/>
        </w:rPr>
        <w:t>”</w:t>
      </w:r>
      <w:r w:rsidRPr="00345499">
        <w:rPr>
          <w:rFonts w:eastAsia="仿宋"/>
          <w:kern w:val="0"/>
          <w:sz w:val="32"/>
          <w:szCs w:val="32"/>
        </w:rPr>
        <w:t>的目标；江阴市在规划先行和经费有保障的情况下，确立</w:t>
      </w:r>
      <w:proofErr w:type="gramStart"/>
      <w:r w:rsidRPr="00345499">
        <w:rPr>
          <w:rFonts w:eastAsia="仿宋"/>
          <w:kern w:val="0"/>
          <w:sz w:val="32"/>
          <w:szCs w:val="32"/>
        </w:rPr>
        <w:t>城市园</w:t>
      </w:r>
      <w:proofErr w:type="gramEnd"/>
      <w:r w:rsidRPr="00345499">
        <w:rPr>
          <w:rFonts w:eastAsia="仿宋"/>
          <w:kern w:val="0"/>
          <w:sz w:val="32"/>
          <w:szCs w:val="32"/>
        </w:rPr>
        <w:t>与乡村园、</w:t>
      </w:r>
      <w:proofErr w:type="gramStart"/>
      <w:r w:rsidRPr="00345499">
        <w:rPr>
          <w:rFonts w:eastAsia="仿宋"/>
          <w:kern w:val="0"/>
          <w:sz w:val="32"/>
          <w:szCs w:val="32"/>
        </w:rPr>
        <w:t>中心园</w:t>
      </w:r>
      <w:proofErr w:type="gramEnd"/>
      <w:r w:rsidRPr="00345499">
        <w:rPr>
          <w:rFonts w:eastAsia="仿宋"/>
          <w:kern w:val="0"/>
          <w:sz w:val="32"/>
          <w:szCs w:val="32"/>
        </w:rPr>
        <w:t>与村园、公办园与民办园</w:t>
      </w:r>
      <w:r w:rsidRPr="00345499">
        <w:rPr>
          <w:rFonts w:eastAsia="仿宋"/>
          <w:sz w:val="32"/>
          <w:szCs w:val="32"/>
        </w:rPr>
        <w:t>协同</w:t>
      </w:r>
      <w:r w:rsidRPr="00345499">
        <w:rPr>
          <w:rFonts w:eastAsia="仿宋"/>
          <w:kern w:val="0"/>
          <w:sz w:val="32"/>
          <w:szCs w:val="32"/>
        </w:rPr>
        <w:t>发展的工作思路。此外，课程游戏化项目建设的关注点也扩展到有可能提升本地区学前教育质量的方方面面，努力探索适应项目建设新需求的整体推进思路。</w:t>
      </w:r>
    </w:p>
    <w:p w:rsidR="005B78E0" w:rsidRPr="00345499" w:rsidRDefault="005B78E0" w:rsidP="005B78E0">
      <w:pPr>
        <w:numPr>
          <w:ilvl w:val="0"/>
          <w:numId w:val="1"/>
        </w:numPr>
        <w:tabs>
          <w:tab w:val="left" w:pos="1134"/>
        </w:tabs>
        <w:spacing w:line="560" w:lineRule="exact"/>
        <w:ind w:left="0" w:firstLine="640"/>
        <w:rPr>
          <w:rFonts w:eastAsia="仿宋"/>
          <w:kern w:val="0"/>
          <w:sz w:val="32"/>
          <w:szCs w:val="32"/>
        </w:rPr>
      </w:pPr>
      <w:r w:rsidRPr="00345499">
        <w:rPr>
          <w:rFonts w:eastAsia="楷体"/>
          <w:b/>
          <w:kern w:val="0"/>
          <w:sz w:val="32"/>
          <w:szCs w:val="32"/>
        </w:rPr>
        <w:t>各地政府加强投入，且开始重视投向教师。</w:t>
      </w:r>
      <w:r w:rsidRPr="00345499">
        <w:rPr>
          <w:rFonts w:eastAsia="仿宋"/>
          <w:kern w:val="0"/>
          <w:sz w:val="32"/>
          <w:szCs w:val="32"/>
        </w:rPr>
        <w:t>视导发现，各地财政都加大了投入，努力从政策、人力、物力、财力上给课程游戏化项目的实施提供有力保障。除了省拨经费外，</w:t>
      </w:r>
      <w:proofErr w:type="gramStart"/>
      <w:r w:rsidRPr="00345499">
        <w:rPr>
          <w:rFonts w:eastAsia="仿宋"/>
          <w:kern w:val="0"/>
          <w:sz w:val="32"/>
          <w:szCs w:val="32"/>
        </w:rPr>
        <w:t>各项目园都</w:t>
      </w:r>
      <w:proofErr w:type="gramEnd"/>
      <w:r w:rsidRPr="00345499">
        <w:rPr>
          <w:rFonts w:eastAsia="仿宋"/>
          <w:kern w:val="0"/>
          <w:sz w:val="32"/>
          <w:szCs w:val="32"/>
        </w:rPr>
        <w:t>在一定程度上获得市级、区级和镇级经费的支持。例如，南京市本级对省、市级项目按照省级经费的</w:t>
      </w:r>
      <w:r w:rsidRPr="00345499">
        <w:rPr>
          <w:rFonts w:eastAsia="仿宋"/>
          <w:kern w:val="0"/>
          <w:sz w:val="32"/>
          <w:szCs w:val="32"/>
        </w:rPr>
        <w:t>50%</w:t>
      </w:r>
      <w:r w:rsidRPr="00345499">
        <w:rPr>
          <w:rFonts w:eastAsia="仿宋"/>
          <w:kern w:val="0"/>
          <w:sz w:val="32"/>
          <w:szCs w:val="32"/>
        </w:rPr>
        <w:t>进行配比；无锡市本级每年安排</w:t>
      </w:r>
      <w:r w:rsidRPr="00345499">
        <w:rPr>
          <w:rFonts w:eastAsia="仿宋"/>
          <w:kern w:val="0"/>
          <w:sz w:val="32"/>
          <w:szCs w:val="32"/>
        </w:rPr>
        <w:t>300</w:t>
      </w:r>
      <w:r w:rsidRPr="00345499">
        <w:rPr>
          <w:rFonts w:eastAsia="仿宋"/>
          <w:kern w:val="0"/>
          <w:sz w:val="32"/>
          <w:szCs w:val="32"/>
        </w:rPr>
        <w:t>万元、南通和连云港市本级每年安排</w:t>
      </w:r>
      <w:r w:rsidRPr="00345499">
        <w:rPr>
          <w:rFonts w:eastAsia="仿宋"/>
          <w:kern w:val="0"/>
          <w:sz w:val="32"/>
          <w:szCs w:val="32"/>
        </w:rPr>
        <w:t>180</w:t>
      </w:r>
      <w:r w:rsidRPr="00345499">
        <w:rPr>
          <w:rFonts w:eastAsia="仿宋"/>
          <w:kern w:val="0"/>
          <w:sz w:val="32"/>
          <w:szCs w:val="32"/>
        </w:rPr>
        <w:t>万元，作为课程游戏化建设专项经费；南通、淮安等市每年组织省市级课程游戏化建设视导，并对考评优秀项目进行奖励。常州市金坛区每年投入</w:t>
      </w:r>
      <w:r w:rsidRPr="00345499">
        <w:rPr>
          <w:rFonts w:eastAsia="仿宋"/>
          <w:kern w:val="0"/>
          <w:sz w:val="32"/>
          <w:szCs w:val="32"/>
        </w:rPr>
        <w:t>500</w:t>
      </w:r>
      <w:r w:rsidRPr="00345499">
        <w:rPr>
          <w:rFonts w:eastAsia="仿宋"/>
          <w:kern w:val="0"/>
          <w:sz w:val="32"/>
          <w:szCs w:val="32"/>
        </w:rPr>
        <w:t>万经费用于幼儿园课程建设；</w:t>
      </w:r>
      <w:proofErr w:type="gramStart"/>
      <w:r w:rsidRPr="00345499">
        <w:rPr>
          <w:rFonts w:eastAsia="仿宋"/>
          <w:kern w:val="0"/>
          <w:sz w:val="32"/>
          <w:szCs w:val="32"/>
        </w:rPr>
        <w:t>邗江区瓜</w:t>
      </w:r>
      <w:proofErr w:type="gramEnd"/>
      <w:r w:rsidRPr="00345499">
        <w:rPr>
          <w:rFonts w:eastAsia="仿宋"/>
          <w:kern w:val="0"/>
          <w:sz w:val="32"/>
          <w:szCs w:val="32"/>
        </w:rPr>
        <w:t>州镇政府除了出面协调幼儿园户外场地拓展外，还为邗江实验幼儿园项目建设所需经费兜底。值得一提的是，各地在这些经费的使用上，正朝着更多地投向教研和师资培训的方向引导。例如，宿迁市财政投入逐步增加，且被用于支持教师培训学习上；徐州市教育局</w:t>
      </w:r>
      <w:r w:rsidRPr="00345499">
        <w:rPr>
          <w:rFonts w:eastAsia="仿宋"/>
          <w:kern w:val="0"/>
          <w:sz w:val="32"/>
          <w:szCs w:val="32"/>
        </w:rPr>
        <w:t>2017</w:t>
      </w:r>
      <w:r w:rsidRPr="00345499">
        <w:rPr>
          <w:rFonts w:eastAsia="仿宋"/>
          <w:kern w:val="0"/>
          <w:sz w:val="32"/>
          <w:szCs w:val="32"/>
        </w:rPr>
        <w:t>年增加</w:t>
      </w:r>
      <w:r w:rsidRPr="00345499">
        <w:rPr>
          <w:rFonts w:eastAsia="仿宋"/>
          <w:kern w:val="0"/>
          <w:sz w:val="32"/>
          <w:szCs w:val="32"/>
        </w:rPr>
        <w:t>300</w:t>
      </w:r>
      <w:r w:rsidRPr="00345499">
        <w:rPr>
          <w:rFonts w:eastAsia="仿宋"/>
          <w:kern w:val="0"/>
          <w:sz w:val="32"/>
          <w:szCs w:val="32"/>
        </w:rPr>
        <w:t>万元教研专项经费，还拨付专项资金</w:t>
      </w:r>
      <w:r w:rsidRPr="00345499">
        <w:rPr>
          <w:rFonts w:eastAsia="仿宋"/>
          <w:kern w:val="0"/>
          <w:sz w:val="32"/>
          <w:szCs w:val="32"/>
        </w:rPr>
        <w:t>5</w:t>
      </w:r>
      <w:r w:rsidRPr="00345499">
        <w:rPr>
          <w:rFonts w:eastAsia="仿宋"/>
          <w:kern w:val="0"/>
          <w:sz w:val="32"/>
          <w:szCs w:val="32"/>
        </w:rPr>
        <w:t>万，</w:t>
      </w:r>
      <w:r w:rsidRPr="00345499">
        <w:rPr>
          <w:rFonts w:eastAsia="仿宋"/>
          <w:kern w:val="0"/>
          <w:sz w:val="32"/>
          <w:szCs w:val="32"/>
        </w:rPr>
        <w:lastRenderedPageBreak/>
        <w:t>用于市级课程游戏化领衔人培训。此外，各地也在想方设法增加非</w:t>
      </w:r>
      <w:proofErr w:type="gramStart"/>
      <w:r w:rsidRPr="00345499">
        <w:rPr>
          <w:rFonts w:eastAsia="仿宋"/>
          <w:kern w:val="0"/>
          <w:sz w:val="32"/>
          <w:szCs w:val="32"/>
        </w:rPr>
        <w:t>编教师</w:t>
      </w:r>
      <w:proofErr w:type="gramEnd"/>
      <w:r w:rsidRPr="00345499">
        <w:rPr>
          <w:rFonts w:eastAsia="仿宋"/>
          <w:kern w:val="0"/>
          <w:sz w:val="32"/>
          <w:szCs w:val="32"/>
        </w:rPr>
        <w:t>的收入。例如，镇江市要求至</w:t>
      </w:r>
      <w:r w:rsidRPr="00345499">
        <w:rPr>
          <w:rFonts w:eastAsia="仿宋"/>
          <w:kern w:val="0"/>
          <w:sz w:val="32"/>
          <w:szCs w:val="32"/>
        </w:rPr>
        <w:t>2018</w:t>
      </w:r>
      <w:r w:rsidRPr="00345499">
        <w:rPr>
          <w:rFonts w:eastAsia="仿宋"/>
          <w:kern w:val="0"/>
          <w:sz w:val="32"/>
          <w:szCs w:val="32"/>
        </w:rPr>
        <w:t>年，非</w:t>
      </w:r>
      <w:proofErr w:type="gramStart"/>
      <w:r w:rsidRPr="00345499">
        <w:rPr>
          <w:rFonts w:eastAsia="仿宋"/>
          <w:kern w:val="0"/>
          <w:sz w:val="32"/>
          <w:szCs w:val="32"/>
        </w:rPr>
        <w:t>编教师</w:t>
      </w:r>
      <w:proofErr w:type="gramEnd"/>
      <w:r w:rsidRPr="00345499">
        <w:rPr>
          <w:rFonts w:eastAsia="仿宋"/>
          <w:kern w:val="0"/>
          <w:sz w:val="32"/>
          <w:szCs w:val="32"/>
        </w:rPr>
        <w:t>的收入不低于非私营企业职工的平均收入，目前已达到年均收入</w:t>
      </w:r>
      <w:r w:rsidRPr="00345499">
        <w:rPr>
          <w:rFonts w:eastAsia="仿宋"/>
          <w:kern w:val="0"/>
          <w:sz w:val="32"/>
          <w:szCs w:val="32"/>
        </w:rPr>
        <w:t>5</w:t>
      </w:r>
      <w:r w:rsidRPr="00345499">
        <w:rPr>
          <w:rFonts w:eastAsia="仿宋"/>
          <w:kern w:val="0"/>
          <w:sz w:val="32"/>
          <w:szCs w:val="32"/>
        </w:rPr>
        <w:t>万多；苏州有些地区非</w:t>
      </w:r>
      <w:proofErr w:type="gramStart"/>
      <w:r w:rsidRPr="00345499">
        <w:rPr>
          <w:rFonts w:eastAsia="仿宋"/>
          <w:kern w:val="0"/>
          <w:sz w:val="32"/>
          <w:szCs w:val="32"/>
        </w:rPr>
        <w:t>编教师</w:t>
      </w:r>
      <w:proofErr w:type="gramEnd"/>
      <w:r w:rsidRPr="00345499">
        <w:rPr>
          <w:rFonts w:eastAsia="仿宋"/>
          <w:kern w:val="0"/>
          <w:sz w:val="32"/>
          <w:szCs w:val="32"/>
        </w:rPr>
        <w:t>的年收入最高已达到</w:t>
      </w:r>
      <w:r w:rsidRPr="00345499">
        <w:rPr>
          <w:rFonts w:eastAsia="仿宋"/>
          <w:kern w:val="0"/>
          <w:sz w:val="32"/>
          <w:szCs w:val="32"/>
        </w:rPr>
        <w:t>6.1</w:t>
      </w:r>
      <w:r w:rsidRPr="00345499">
        <w:rPr>
          <w:rFonts w:eastAsia="仿宋"/>
          <w:kern w:val="0"/>
          <w:sz w:val="32"/>
          <w:szCs w:val="32"/>
        </w:rPr>
        <w:t>万。这些举措有助于为课程游戏化项目实施提供了一支稳定的人员队伍，南京、无锡、苏州、南通、镇江、泰州、宿迁等</w:t>
      </w:r>
      <w:proofErr w:type="gramStart"/>
      <w:r w:rsidRPr="00345499">
        <w:rPr>
          <w:rFonts w:eastAsia="仿宋"/>
          <w:kern w:val="0"/>
          <w:sz w:val="32"/>
          <w:szCs w:val="32"/>
        </w:rPr>
        <w:t>市项目园</w:t>
      </w:r>
      <w:proofErr w:type="gramEnd"/>
      <w:r w:rsidRPr="00345499">
        <w:rPr>
          <w:rFonts w:eastAsia="仿宋"/>
          <w:kern w:val="0"/>
          <w:sz w:val="32"/>
          <w:szCs w:val="32"/>
        </w:rPr>
        <w:t>“</w:t>
      </w:r>
      <w:r w:rsidRPr="00345499">
        <w:rPr>
          <w:rFonts w:eastAsia="仿宋"/>
          <w:kern w:val="0"/>
          <w:sz w:val="32"/>
          <w:szCs w:val="32"/>
        </w:rPr>
        <w:t>两教一保</w:t>
      </w:r>
      <w:r w:rsidRPr="00345499">
        <w:rPr>
          <w:rFonts w:eastAsia="仿宋"/>
          <w:kern w:val="0"/>
          <w:sz w:val="32"/>
          <w:szCs w:val="32"/>
        </w:rPr>
        <w:t>”</w:t>
      </w:r>
      <w:r w:rsidRPr="00345499">
        <w:rPr>
          <w:rFonts w:eastAsia="仿宋"/>
          <w:kern w:val="0"/>
          <w:sz w:val="32"/>
          <w:szCs w:val="32"/>
        </w:rPr>
        <w:t>配备达标率已达到</w:t>
      </w:r>
      <w:r w:rsidRPr="00345499">
        <w:rPr>
          <w:rFonts w:eastAsia="仿宋"/>
          <w:kern w:val="0"/>
          <w:sz w:val="32"/>
          <w:szCs w:val="32"/>
        </w:rPr>
        <w:t>100%</w:t>
      </w:r>
      <w:r w:rsidRPr="00345499">
        <w:rPr>
          <w:rFonts w:eastAsia="仿宋"/>
          <w:kern w:val="0"/>
          <w:sz w:val="32"/>
          <w:szCs w:val="32"/>
        </w:rPr>
        <w:t>。</w:t>
      </w:r>
    </w:p>
    <w:p w:rsidR="005B78E0" w:rsidRPr="00345499" w:rsidRDefault="005B78E0" w:rsidP="005B78E0">
      <w:pPr>
        <w:numPr>
          <w:ilvl w:val="0"/>
          <w:numId w:val="1"/>
        </w:numPr>
        <w:tabs>
          <w:tab w:val="left" w:pos="1134"/>
        </w:tabs>
        <w:spacing w:line="560" w:lineRule="exact"/>
        <w:ind w:left="0" w:firstLine="640"/>
        <w:rPr>
          <w:rFonts w:eastAsia="仿宋"/>
          <w:kern w:val="0"/>
          <w:sz w:val="32"/>
          <w:szCs w:val="32"/>
        </w:rPr>
      </w:pPr>
      <w:r w:rsidRPr="00345499">
        <w:rPr>
          <w:rFonts w:eastAsia="楷体"/>
          <w:b/>
          <w:kern w:val="0"/>
          <w:sz w:val="32"/>
          <w:szCs w:val="32"/>
        </w:rPr>
        <w:t>建立</w:t>
      </w:r>
      <w:r w:rsidRPr="00345499">
        <w:rPr>
          <w:rFonts w:eastAsia="楷体"/>
          <w:b/>
          <w:kern w:val="0"/>
          <w:sz w:val="32"/>
          <w:szCs w:val="32"/>
        </w:rPr>
        <w:t>“</w:t>
      </w:r>
      <w:r w:rsidRPr="00345499">
        <w:rPr>
          <w:rFonts w:eastAsia="楷体"/>
          <w:b/>
          <w:kern w:val="0"/>
          <w:sz w:val="32"/>
          <w:szCs w:val="32"/>
        </w:rPr>
        <w:t>三位一体</w:t>
      </w:r>
      <w:r w:rsidRPr="00345499">
        <w:rPr>
          <w:rFonts w:eastAsia="楷体"/>
          <w:b/>
          <w:kern w:val="0"/>
          <w:sz w:val="32"/>
          <w:szCs w:val="32"/>
        </w:rPr>
        <w:t>”</w:t>
      </w:r>
      <w:r w:rsidRPr="00345499">
        <w:rPr>
          <w:rFonts w:eastAsia="楷体"/>
          <w:b/>
          <w:kern w:val="0"/>
          <w:sz w:val="32"/>
          <w:szCs w:val="32"/>
        </w:rPr>
        <w:t>工作机制，形成改革合力。</w:t>
      </w:r>
      <w:r w:rsidRPr="00345499">
        <w:rPr>
          <w:rFonts w:eastAsia="仿宋"/>
          <w:sz w:val="32"/>
          <w:szCs w:val="32"/>
        </w:rPr>
        <w:t>行政、教科研、师培</w:t>
      </w:r>
      <w:r w:rsidRPr="00345499">
        <w:rPr>
          <w:rFonts w:eastAsia="仿宋"/>
          <w:sz w:val="32"/>
          <w:szCs w:val="32"/>
        </w:rPr>
        <w:t>“</w:t>
      </w:r>
      <w:r w:rsidRPr="00345499">
        <w:rPr>
          <w:rFonts w:eastAsia="仿宋"/>
          <w:sz w:val="32"/>
          <w:szCs w:val="32"/>
        </w:rPr>
        <w:t>三位一体</w:t>
      </w:r>
      <w:r w:rsidRPr="00345499">
        <w:rPr>
          <w:rFonts w:eastAsia="仿宋"/>
          <w:sz w:val="32"/>
          <w:szCs w:val="32"/>
        </w:rPr>
        <w:t>”</w:t>
      </w:r>
      <w:r w:rsidRPr="00345499">
        <w:rPr>
          <w:rFonts w:eastAsia="仿宋"/>
          <w:sz w:val="32"/>
          <w:szCs w:val="32"/>
        </w:rPr>
        <w:t>的工作机制为课程游戏化项目推进发挥了有力的保障和引领作用。</w:t>
      </w:r>
      <w:r w:rsidRPr="00345499">
        <w:rPr>
          <w:rFonts w:eastAsia="仿宋"/>
          <w:kern w:val="0"/>
          <w:sz w:val="32"/>
          <w:szCs w:val="32"/>
        </w:rPr>
        <w:t>这三个部门既有明确的职责分工，又有共同的工作目标，</w:t>
      </w:r>
      <w:r w:rsidRPr="00345499">
        <w:rPr>
          <w:rFonts w:eastAsia="仿宋"/>
          <w:sz w:val="32"/>
          <w:szCs w:val="32"/>
        </w:rPr>
        <w:t>是江苏各地在实践中总结出来的基本经验。例如，</w:t>
      </w:r>
      <w:r w:rsidRPr="00345499">
        <w:rPr>
          <w:rFonts w:eastAsia="仿宋"/>
          <w:kern w:val="0"/>
          <w:sz w:val="32"/>
          <w:szCs w:val="32"/>
        </w:rPr>
        <w:t>常州市确立了</w:t>
      </w:r>
      <w:r w:rsidRPr="00345499">
        <w:rPr>
          <w:rFonts w:eastAsia="仿宋"/>
          <w:kern w:val="0"/>
          <w:sz w:val="32"/>
          <w:szCs w:val="32"/>
        </w:rPr>
        <w:t>“</w:t>
      </w:r>
      <w:r w:rsidRPr="00345499">
        <w:rPr>
          <w:rFonts w:eastAsia="仿宋"/>
          <w:kern w:val="0"/>
          <w:sz w:val="32"/>
          <w:szCs w:val="32"/>
        </w:rPr>
        <w:t>行政开路、教研推动、基础保障</w:t>
      </w:r>
      <w:r w:rsidRPr="00345499">
        <w:rPr>
          <w:rFonts w:eastAsia="仿宋"/>
          <w:kern w:val="0"/>
          <w:sz w:val="32"/>
          <w:szCs w:val="32"/>
        </w:rPr>
        <w:t>”</w:t>
      </w:r>
      <w:r w:rsidRPr="00345499">
        <w:rPr>
          <w:rFonts w:eastAsia="仿宋"/>
          <w:kern w:val="0"/>
          <w:sz w:val="32"/>
          <w:szCs w:val="32"/>
        </w:rPr>
        <w:t>的整体工作思路；淮安清江浦区成立了区课程游戏化</w:t>
      </w:r>
      <w:r w:rsidRPr="00345499">
        <w:rPr>
          <w:rFonts w:eastAsia="仿宋"/>
          <w:color w:val="000000"/>
          <w:sz w:val="32"/>
          <w:szCs w:val="32"/>
        </w:rPr>
        <w:t>建设项目</w:t>
      </w:r>
      <w:r w:rsidRPr="00345499">
        <w:rPr>
          <w:rFonts w:eastAsia="仿宋"/>
          <w:kern w:val="0"/>
          <w:sz w:val="32"/>
          <w:szCs w:val="32"/>
        </w:rPr>
        <w:t>领导小组，形成了</w:t>
      </w:r>
      <w:r w:rsidRPr="00345499">
        <w:rPr>
          <w:rFonts w:eastAsia="仿宋"/>
          <w:kern w:val="0"/>
          <w:sz w:val="32"/>
          <w:szCs w:val="32"/>
        </w:rPr>
        <w:t>“</w:t>
      </w:r>
      <w:r w:rsidRPr="00345499">
        <w:rPr>
          <w:rFonts w:eastAsia="仿宋"/>
          <w:kern w:val="0"/>
          <w:sz w:val="32"/>
          <w:szCs w:val="32"/>
        </w:rPr>
        <w:t>行政推动、科研引领、专家指导、典型示范、监督考核</w:t>
      </w:r>
      <w:r w:rsidRPr="00345499">
        <w:rPr>
          <w:rFonts w:eastAsia="仿宋"/>
          <w:kern w:val="0"/>
          <w:sz w:val="32"/>
          <w:szCs w:val="32"/>
        </w:rPr>
        <w:t>”</w:t>
      </w:r>
      <w:r w:rsidRPr="00345499">
        <w:rPr>
          <w:rFonts w:eastAsia="仿宋"/>
          <w:kern w:val="0"/>
          <w:sz w:val="32"/>
          <w:szCs w:val="32"/>
        </w:rPr>
        <w:t>的机制。</w:t>
      </w:r>
      <w:r w:rsidRPr="00345499">
        <w:rPr>
          <w:rFonts w:eastAsia="仿宋"/>
          <w:sz w:val="32"/>
          <w:szCs w:val="32"/>
        </w:rPr>
        <w:t>行政部门着力通过制度建设，保障省、市、区级项目所需的人财物，例如，南京市近年来就出台过《课程游戏化建设共建帮扶制度》、《课程游戏化建设经费使用制度》等多项制度。教研和科研部门着力解决实践中出现的问题和困难，例如扬州市市级教研每年立足解决一个重点问题，使三年来</w:t>
      </w:r>
      <w:proofErr w:type="gramStart"/>
      <w:r w:rsidRPr="00345499">
        <w:rPr>
          <w:rFonts w:eastAsia="仿宋"/>
          <w:sz w:val="32"/>
          <w:szCs w:val="32"/>
        </w:rPr>
        <w:t>项目园</w:t>
      </w:r>
      <w:proofErr w:type="gramEnd"/>
      <w:r w:rsidRPr="00345499">
        <w:rPr>
          <w:rFonts w:eastAsia="仿宋"/>
          <w:sz w:val="32"/>
          <w:szCs w:val="32"/>
        </w:rPr>
        <w:t>建设的质量逐年提升；南通、泰州等地教科研部门在实践中摸索出</w:t>
      </w:r>
      <w:r w:rsidRPr="00345499">
        <w:rPr>
          <w:rFonts w:eastAsia="仿宋"/>
          <w:sz w:val="32"/>
          <w:szCs w:val="32"/>
        </w:rPr>
        <w:t>“</w:t>
      </w:r>
      <w:r w:rsidRPr="00345499">
        <w:rPr>
          <w:rFonts w:eastAsia="仿宋"/>
          <w:sz w:val="32"/>
          <w:szCs w:val="32"/>
        </w:rPr>
        <w:t>学前教育教学协作片</w:t>
      </w:r>
      <w:r w:rsidRPr="00345499">
        <w:rPr>
          <w:rFonts w:eastAsia="仿宋"/>
          <w:sz w:val="32"/>
          <w:szCs w:val="32"/>
        </w:rPr>
        <w:t>”</w:t>
      </w:r>
      <w:r w:rsidRPr="00345499">
        <w:rPr>
          <w:rFonts w:eastAsia="仿宋"/>
          <w:sz w:val="32"/>
          <w:szCs w:val="32"/>
        </w:rPr>
        <w:t>、</w:t>
      </w:r>
      <w:r w:rsidRPr="00345499">
        <w:rPr>
          <w:rFonts w:eastAsia="仿宋"/>
          <w:sz w:val="32"/>
          <w:szCs w:val="32"/>
        </w:rPr>
        <w:t>“</w:t>
      </w:r>
      <w:r w:rsidRPr="00345499">
        <w:rPr>
          <w:rFonts w:eastAsia="仿宋"/>
          <w:sz w:val="32"/>
          <w:szCs w:val="32"/>
        </w:rPr>
        <w:t>拉网式调研</w:t>
      </w:r>
      <w:r w:rsidRPr="00345499">
        <w:rPr>
          <w:rFonts w:eastAsia="仿宋"/>
          <w:sz w:val="32"/>
          <w:szCs w:val="32"/>
        </w:rPr>
        <w:t>”</w:t>
      </w:r>
      <w:r w:rsidRPr="00345499">
        <w:rPr>
          <w:rFonts w:eastAsia="仿宋"/>
          <w:sz w:val="32"/>
          <w:szCs w:val="32"/>
        </w:rPr>
        <w:t>、</w:t>
      </w:r>
      <w:r w:rsidRPr="00345499">
        <w:rPr>
          <w:rFonts w:eastAsia="仿宋"/>
          <w:sz w:val="32"/>
          <w:szCs w:val="32"/>
        </w:rPr>
        <w:t>“</w:t>
      </w:r>
      <w:r w:rsidRPr="00345499">
        <w:rPr>
          <w:rFonts w:eastAsia="仿宋"/>
          <w:sz w:val="32"/>
          <w:szCs w:val="32"/>
        </w:rPr>
        <w:t>研究共同体抱团前行</w:t>
      </w:r>
      <w:r w:rsidRPr="00345499">
        <w:rPr>
          <w:rFonts w:eastAsia="仿宋"/>
          <w:sz w:val="32"/>
          <w:szCs w:val="32"/>
        </w:rPr>
        <w:t>”</w:t>
      </w:r>
      <w:r w:rsidRPr="00345499">
        <w:rPr>
          <w:rFonts w:eastAsia="仿宋"/>
          <w:sz w:val="32"/>
          <w:szCs w:val="32"/>
        </w:rPr>
        <w:t>和</w:t>
      </w:r>
      <w:r w:rsidRPr="00345499">
        <w:rPr>
          <w:rFonts w:eastAsia="仿宋"/>
          <w:sz w:val="32"/>
          <w:szCs w:val="32"/>
        </w:rPr>
        <w:t>“</w:t>
      </w:r>
      <w:r w:rsidRPr="00345499">
        <w:rPr>
          <w:rFonts w:eastAsia="仿宋"/>
          <w:sz w:val="32"/>
          <w:szCs w:val="32"/>
        </w:rPr>
        <w:t>课程游戏化建设中心教研组</w:t>
      </w:r>
      <w:r w:rsidRPr="00345499">
        <w:rPr>
          <w:rFonts w:eastAsia="仿宋"/>
          <w:sz w:val="32"/>
          <w:szCs w:val="32"/>
        </w:rPr>
        <w:t>”</w:t>
      </w:r>
      <w:r w:rsidRPr="00345499">
        <w:rPr>
          <w:rFonts w:eastAsia="仿宋"/>
          <w:sz w:val="32"/>
          <w:szCs w:val="32"/>
        </w:rPr>
        <w:t>等工作方法，及时地解决各种实践问题。师资培训部门着力帮助教师实现从理念到行为的转变，快速推广实践</w:t>
      </w:r>
      <w:r w:rsidRPr="00345499">
        <w:rPr>
          <w:rFonts w:eastAsia="仿宋"/>
          <w:sz w:val="32"/>
          <w:szCs w:val="32"/>
        </w:rPr>
        <w:lastRenderedPageBreak/>
        <w:t>中积累的有效经验。除了委托省教科院</w:t>
      </w:r>
      <w:r w:rsidRPr="00345499">
        <w:rPr>
          <w:rFonts w:eastAsia="仿宋"/>
          <w:color w:val="000000"/>
          <w:sz w:val="32"/>
          <w:szCs w:val="32"/>
        </w:rPr>
        <w:t>幼教研究所</w:t>
      </w:r>
      <w:r w:rsidRPr="00345499">
        <w:rPr>
          <w:rFonts w:eastAsia="仿宋"/>
          <w:sz w:val="32"/>
          <w:szCs w:val="32"/>
        </w:rPr>
        <w:t>每年对</w:t>
      </w:r>
      <w:r w:rsidRPr="00345499">
        <w:rPr>
          <w:rFonts w:eastAsia="仿宋"/>
          <w:sz w:val="32"/>
          <w:szCs w:val="32"/>
        </w:rPr>
        <w:t>100</w:t>
      </w:r>
      <w:r w:rsidRPr="00345499">
        <w:rPr>
          <w:rFonts w:eastAsia="仿宋"/>
          <w:sz w:val="32"/>
          <w:szCs w:val="32"/>
        </w:rPr>
        <w:t>名骨干教师和</w:t>
      </w:r>
      <w:r w:rsidRPr="00345499">
        <w:rPr>
          <w:rFonts w:eastAsia="仿宋"/>
          <w:sz w:val="32"/>
          <w:szCs w:val="32"/>
        </w:rPr>
        <w:t>100</w:t>
      </w:r>
      <w:r w:rsidRPr="00345499">
        <w:rPr>
          <w:rFonts w:eastAsia="仿宋"/>
          <w:sz w:val="32"/>
          <w:szCs w:val="32"/>
        </w:rPr>
        <w:t>名教研员进行课程游戏化的专项培训外，</w:t>
      </w:r>
      <w:r w:rsidRPr="00345499">
        <w:rPr>
          <w:rFonts w:eastAsia="仿宋"/>
          <w:kern w:val="0"/>
          <w:sz w:val="32"/>
          <w:szCs w:val="32"/>
        </w:rPr>
        <w:t>各地也十分重视教师培训的覆盖面和频率，重视针对实践中的真问题，针对教师的不同层次水平进行分层</w:t>
      </w:r>
      <w:proofErr w:type="gramStart"/>
      <w:r w:rsidRPr="00345499">
        <w:rPr>
          <w:rFonts w:eastAsia="仿宋"/>
          <w:kern w:val="0"/>
          <w:sz w:val="32"/>
          <w:szCs w:val="32"/>
        </w:rPr>
        <w:t>研</w:t>
      </w:r>
      <w:proofErr w:type="gramEnd"/>
      <w:r w:rsidRPr="00345499">
        <w:rPr>
          <w:rFonts w:eastAsia="仿宋"/>
          <w:kern w:val="0"/>
          <w:sz w:val="32"/>
          <w:szCs w:val="32"/>
        </w:rPr>
        <w:t>训。扬州市广陵区更是总结出</w:t>
      </w:r>
      <w:r w:rsidRPr="00345499">
        <w:rPr>
          <w:rFonts w:eastAsia="仿宋"/>
          <w:kern w:val="0"/>
          <w:sz w:val="32"/>
          <w:szCs w:val="32"/>
        </w:rPr>
        <w:t>“</w:t>
      </w:r>
      <w:r w:rsidRPr="00345499">
        <w:rPr>
          <w:rFonts w:eastAsia="仿宋"/>
          <w:kern w:val="0"/>
          <w:sz w:val="32"/>
          <w:szCs w:val="32"/>
        </w:rPr>
        <w:t>把焦点问题带入研讨活动，把教研的成果带入教师培训，把培训的成果落实在工作实践</w:t>
      </w:r>
      <w:r w:rsidRPr="00345499">
        <w:rPr>
          <w:rFonts w:eastAsia="仿宋"/>
          <w:kern w:val="0"/>
          <w:sz w:val="32"/>
          <w:szCs w:val="32"/>
        </w:rPr>
        <w:t>”</w:t>
      </w:r>
      <w:proofErr w:type="gramStart"/>
      <w:r w:rsidRPr="00345499">
        <w:rPr>
          <w:rFonts w:eastAsia="仿宋"/>
          <w:kern w:val="0"/>
          <w:sz w:val="32"/>
          <w:szCs w:val="32"/>
        </w:rPr>
        <w:t>研</w:t>
      </w:r>
      <w:proofErr w:type="gramEnd"/>
      <w:r w:rsidRPr="00345499">
        <w:rPr>
          <w:rFonts w:eastAsia="仿宋"/>
          <w:kern w:val="0"/>
          <w:sz w:val="32"/>
          <w:szCs w:val="32"/>
        </w:rPr>
        <w:t>训一体、学用一体的工作思路。此外，徐州、淮安、连云港、扬州等地在行政部门的牵头下，建立互惠的校、地合作模式，本地高校专家通过讲座和参与</w:t>
      </w:r>
      <w:proofErr w:type="gramStart"/>
      <w:r w:rsidRPr="00345499">
        <w:rPr>
          <w:rFonts w:eastAsia="仿宋"/>
          <w:kern w:val="0"/>
          <w:sz w:val="32"/>
          <w:szCs w:val="32"/>
        </w:rPr>
        <w:t>园本教研</w:t>
      </w:r>
      <w:proofErr w:type="gramEnd"/>
      <w:r w:rsidRPr="00345499">
        <w:rPr>
          <w:rFonts w:eastAsia="仿宋"/>
          <w:kern w:val="0"/>
          <w:sz w:val="32"/>
          <w:szCs w:val="32"/>
        </w:rPr>
        <w:t>用理论引导和深化幼儿园教师的实践，而来自课程游戏</w:t>
      </w:r>
      <w:proofErr w:type="gramStart"/>
      <w:r w:rsidRPr="00345499">
        <w:rPr>
          <w:rFonts w:eastAsia="仿宋"/>
          <w:kern w:val="0"/>
          <w:sz w:val="32"/>
          <w:szCs w:val="32"/>
        </w:rPr>
        <w:t>化实践</w:t>
      </w:r>
      <w:proofErr w:type="gramEnd"/>
      <w:r w:rsidRPr="00345499">
        <w:rPr>
          <w:rFonts w:eastAsia="仿宋"/>
          <w:kern w:val="0"/>
          <w:sz w:val="32"/>
          <w:szCs w:val="32"/>
        </w:rPr>
        <w:t>中的鲜活案例则丰富了高校教师的教学和科研内容，使高校学前教育师资培养更接地气。</w:t>
      </w:r>
    </w:p>
    <w:p w:rsidR="005B78E0" w:rsidRPr="00345499" w:rsidRDefault="005B78E0" w:rsidP="005B78E0">
      <w:pPr>
        <w:numPr>
          <w:ilvl w:val="0"/>
          <w:numId w:val="1"/>
        </w:numPr>
        <w:tabs>
          <w:tab w:val="left" w:pos="1134"/>
        </w:tabs>
        <w:spacing w:line="560" w:lineRule="exact"/>
        <w:ind w:left="0" w:firstLine="640"/>
        <w:rPr>
          <w:rFonts w:eastAsia="仿宋"/>
          <w:sz w:val="32"/>
          <w:szCs w:val="32"/>
        </w:rPr>
      </w:pPr>
      <w:r w:rsidRPr="00345499">
        <w:rPr>
          <w:rFonts w:eastAsia="楷体"/>
          <w:b/>
          <w:kern w:val="0"/>
          <w:sz w:val="32"/>
          <w:szCs w:val="32"/>
        </w:rPr>
        <w:t>课程意识增强，过程性教育质量显著提升。</w:t>
      </w:r>
      <w:r w:rsidRPr="00345499">
        <w:rPr>
          <w:rFonts w:eastAsia="仿宋"/>
          <w:sz w:val="32"/>
          <w:szCs w:val="32"/>
        </w:rPr>
        <w:t>通过项目实施，</w:t>
      </w:r>
      <w:proofErr w:type="gramStart"/>
      <w:r w:rsidRPr="00345499">
        <w:rPr>
          <w:rFonts w:eastAsia="仿宋"/>
          <w:sz w:val="32"/>
          <w:szCs w:val="32"/>
        </w:rPr>
        <w:t>各项目园对</w:t>
      </w:r>
      <w:proofErr w:type="gramEnd"/>
      <w:r w:rsidRPr="00345499">
        <w:rPr>
          <w:rFonts w:eastAsia="仿宋"/>
          <w:sz w:val="32"/>
          <w:szCs w:val="32"/>
        </w:rPr>
        <w:t>课程的理解逐渐加深，不再把课程简单地等同于</w:t>
      </w:r>
      <w:proofErr w:type="gramStart"/>
      <w:r w:rsidRPr="00345499">
        <w:rPr>
          <w:rFonts w:eastAsia="仿宋"/>
          <w:sz w:val="32"/>
          <w:szCs w:val="32"/>
        </w:rPr>
        <w:t>一</w:t>
      </w:r>
      <w:proofErr w:type="gramEnd"/>
      <w:r w:rsidRPr="00345499">
        <w:rPr>
          <w:rFonts w:eastAsia="仿宋"/>
          <w:sz w:val="32"/>
          <w:szCs w:val="32"/>
        </w:rPr>
        <w:t>节节课，而是把与幼儿游戏与学习密切相关的环境、资源、作息时间、活动主题等视为课程的组成部分。教师的课程意识的增强主要体现在：</w:t>
      </w:r>
      <w:r w:rsidRPr="00345499">
        <w:rPr>
          <w:rFonts w:eastAsia="仿宋"/>
          <w:b/>
          <w:sz w:val="32"/>
          <w:szCs w:val="32"/>
        </w:rPr>
        <w:t>一是</w:t>
      </w:r>
      <w:r w:rsidRPr="00345499">
        <w:rPr>
          <w:rFonts w:eastAsia="仿宋"/>
          <w:sz w:val="32"/>
          <w:szCs w:val="32"/>
        </w:rPr>
        <w:t>课程审议意识增强。在课程实施中，各项</w:t>
      </w:r>
      <w:proofErr w:type="gramStart"/>
      <w:r w:rsidRPr="00345499">
        <w:rPr>
          <w:rFonts w:eastAsia="仿宋"/>
          <w:sz w:val="32"/>
          <w:szCs w:val="32"/>
        </w:rPr>
        <w:t>目园经常</w:t>
      </w:r>
      <w:proofErr w:type="gramEnd"/>
      <w:r w:rsidRPr="00345499">
        <w:rPr>
          <w:rFonts w:eastAsia="仿宋"/>
          <w:sz w:val="32"/>
          <w:szCs w:val="32"/>
        </w:rPr>
        <w:t>通过教研活动就作息时间安排审议、室内外空间规划审议、主题审议、生成课程审议、课程资源审议、</w:t>
      </w:r>
      <w:proofErr w:type="gramStart"/>
      <w:r w:rsidRPr="00345499">
        <w:rPr>
          <w:rFonts w:eastAsia="仿宋"/>
          <w:sz w:val="32"/>
          <w:szCs w:val="32"/>
        </w:rPr>
        <w:t>绘本审议</w:t>
      </w:r>
      <w:proofErr w:type="gramEnd"/>
      <w:r w:rsidRPr="00345499">
        <w:rPr>
          <w:rFonts w:eastAsia="仿宋"/>
          <w:sz w:val="32"/>
          <w:szCs w:val="32"/>
        </w:rPr>
        <w:t>等问题，与同事、园长、专家进行价值、适宜性和可行性的审议。</w:t>
      </w:r>
      <w:r w:rsidRPr="00345499">
        <w:rPr>
          <w:rFonts w:eastAsia="仿宋"/>
          <w:b/>
          <w:sz w:val="32"/>
          <w:szCs w:val="32"/>
        </w:rPr>
        <w:t>二是</w:t>
      </w:r>
      <w:r w:rsidRPr="00345499">
        <w:rPr>
          <w:rFonts w:eastAsia="仿宋"/>
          <w:sz w:val="32"/>
          <w:szCs w:val="32"/>
        </w:rPr>
        <w:t>课程资源开发意识增强。</w:t>
      </w:r>
      <w:proofErr w:type="gramStart"/>
      <w:r w:rsidRPr="00345499">
        <w:rPr>
          <w:rFonts w:eastAsia="仿宋"/>
          <w:sz w:val="32"/>
          <w:szCs w:val="32"/>
        </w:rPr>
        <w:t>各项目园从</w:t>
      </w:r>
      <w:proofErr w:type="gramEnd"/>
      <w:r w:rsidRPr="00345499">
        <w:rPr>
          <w:rFonts w:eastAsia="仿宋"/>
          <w:sz w:val="32"/>
          <w:szCs w:val="32"/>
        </w:rPr>
        <w:t>最初按要求去调查本土资源和绘制资源地图，到盲目地收集、占有和囤积资源，进入将资源有效利用并转化为课程资源的阶段，一些扎根于实践的有价值的经验正在涌</w:t>
      </w:r>
      <w:r w:rsidRPr="00345499">
        <w:rPr>
          <w:rFonts w:eastAsia="仿宋"/>
          <w:sz w:val="32"/>
          <w:szCs w:val="32"/>
        </w:rPr>
        <w:lastRenderedPageBreak/>
        <w:t>现。例如，外来人员子女占</w:t>
      </w:r>
      <w:r w:rsidRPr="00345499">
        <w:rPr>
          <w:rFonts w:eastAsia="仿宋"/>
          <w:sz w:val="32"/>
          <w:szCs w:val="32"/>
        </w:rPr>
        <w:t>95%</w:t>
      </w:r>
      <w:r w:rsidRPr="00345499">
        <w:rPr>
          <w:rFonts w:eastAsia="仿宋"/>
          <w:sz w:val="32"/>
          <w:szCs w:val="32"/>
        </w:rPr>
        <w:t>的新北奔牛实验幼儿园金牛分园，树立了</w:t>
      </w:r>
      <w:r w:rsidRPr="00345499">
        <w:rPr>
          <w:rFonts w:eastAsia="仿宋"/>
          <w:sz w:val="32"/>
          <w:szCs w:val="32"/>
        </w:rPr>
        <w:t>“</w:t>
      </w:r>
      <w:r w:rsidRPr="00345499">
        <w:rPr>
          <w:rFonts w:eastAsia="仿宋"/>
          <w:sz w:val="32"/>
          <w:szCs w:val="32"/>
        </w:rPr>
        <w:t>处处有资源，时时有课程</w:t>
      </w:r>
      <w:r w:rsidRPr="00345499">
        <w:rPr>
          <w:rFonts w:eastAsia="仿宋"/>
          <w:sz w:val="32"/>
          <w:szCs w:val="32"/>
        </w:rPr>
        <w:t>”</w:t>
      </w:r>
      <w:r w:rsidRPr="00345499">
        <w:rPr>
          <w:rFonts w:eastAsia="仿宋"/>
          <w:sz w:val="32"/>
          <w:szCs w:val="32"/>
        </w:rPr>
        <w:t>的理念，教师们分析本</w:t>
      </w:r>
      <w:proofErr w:type="gramStart"/>
      <w:r w:rsidRPr="00345499">
        <w:rPr>
          <w:rFonts w:eastAsia="仿宋"/>
          <w:sz w:val="32"/>
          <w:szCs w:val="32"/>
        </w:rPr>
        <w:t>班家庭</w:t>
      </w:r>
      <w:proofErr w:type="gramEnd"/>
      <w:r w:rsidRPr="00345499">
        <w:rPr>
          <w:rFonts w:eastAsia="仿宋"/>
          <w:sz w:val="32"/>
          <w:szCs w:val="32"/>
        </w:rPr>
        <w:t>教养特点，利用家长资源生成班本课程；沭阳祥和幼儿园和邗江实验幼儿园有意识地收集与冬季主题相关的图书、音乐资源对幼儿进行前期经验铺垫，使下雪冬天孩子们能更主动地去探索，自然生成了真实的雪景下的学习活动；</w:t>
      </w:r>
      <w:proofErr w:type="gramStart"/>
      <w:r w:rsidRPr="00345499">
        <w:rPr>
          <w:rFonts w:eastAsia="仿宋"/>
          <w:sz w:val="32"/>
          <w:szCs w:val="32"/>
        </w:rPr>
        <w:t>丹阳胡桥中心</w:t>
      </w:r>
      <w:proofErr w:type="gramEnd"/>
      <w:r w:rsidRPr="00345499">
        <w:rPr>
          <w:rFonts w:eastAsia="仿宋"/>
          <w:sz w:val="32"/>
          <w:szCs w:val="32"/>
        </w:rPr>
        <w:t>幼儿园将户外环境作为主要课程发生地，及时捕捉孩子的兴趣生成了</w:t>
      </w:r>
      <w:r w:rsidRPr="00345499">
        <w:rPr>
          <w:rFonts w:eastAsia="仿宋"/>
          <w:sz w:val="32"/>
          <w:szCs w:val="32"/>
        </w:rPr>
        <w:t>“</w:t>
      </w:r>
      <w:r w:rsidRPr="00345499">
        <w:rPr>
          <w:rFonts w:eastAsia="仿宋"/>
          <w:sz w:val="32"/>
          <w:szCs w:val="32"/>
        </w:rPr>
        <w:t>挖山芋</w:t>
      </w:r>
      <w:r w:rsidRPr="00345499">
        <w:rPr>
          <w:rFonts w:eastAsia="仿宋"/>
          <w:sz w:val="32"/>
          <w:szCs w:val="32"/>
        </w:rPr>
        <w:t>”</w:t>
      </w:r>
      <w:r w:rsidRPr="00345499">
        <w:rPr>
          <w:rFonts w:eastAsia="仿宋"/>
          <w:sz w:val="32"/>
          <w:szCs w:val="32"/>
        </w:rPr>
        <w:t>、</w:t>
      </w:r>
      <w:r w:rsidRPr="00345499">
        <w:rPr>
          <w:rFonts w:eastAsia="仿宋"/>
          <w:sz w:val="32"/>
          <w:szCs w:val="32"/>
        </w:rPr>
        <w:t>“</w:t>
      </w:r>
      <w:r w:rsidRPr="00345499">
        <w:rPr>
          <w:rFonts w:eastAsia="仿宋"/>
          <w:sz w:val="32"/>
          <w:szCs w:val="32"/>
        </w:rPr>
        <w:t>栾树的秘密</w:t>
      </w:r>
      <w:r w:rsidRPr="00345499">
        <w:rPr>
          <w:rFonts w:eastAsia="仿宋"/>
          <w:sz w:val="32"/>
          <w:szCs w:val="32"/>
        </w:rPr>
        <w:t>”</w:t>
      </w:r>
      <w:r w:rsidRPr="00345499">
        <w:rPr>
          <w:rFonts w:eastAsia="仿宋"/>
          <w:sz w:val="32"/>
          <w:szCs w:val="32"/>
        </w:rPr>
        <w:t>等探究活动。</w:t>
      </w:r>
      <w:r w:rsidRPr="00345499">
        <w:rPr>
          <w:rFonts w:eastAsia="仿宋"/>
          <w:b/>
          <w:sz w:val="32"/>
          <w:szCs w:val="32"/>
        </w:rPr>
        <w:t>三是</w:t>
      </w:r>
      <w:r w:rsidRPr="00345499">
        <w:rPr>
          <w:rFonts w:eastAsia="仿宋"/>
          <w:sz w:val="32"/>
          <w:szCs w:val="32"/>
        </w:rPr>
        <w:t>师幼互动意识增强。越来越多的教师意识到日常的师幼互动蕴含着大量教与学的契机，读懂幼儿的意图是提供有效教育支持的关键。无锡市侨谊幼儿园金科园从</w:t>
      </w:r>
      <w:r w:rsidRPr="00345499">
        <w:rPr>
          <w:rFonts w:eastAsia="仿宋"/>
          <w:sz w:val="32"/>
          <w:szCs w:val="32"/>
        </w:rPr>
        <w:t>“</w:t>
      </w:r>
      <w:r w:rsidRPr="00345499">
        <w:rPr>
          <w:rFonts w:eastAsia="仿宋"/>
          <w:sz w:val="32"/>
          <w:szCs w:val="32"/>
        </w:rPr>
        <w:t>解读儿童表征</w:t>
      </w:r>
      <w:r w:rsidRPr="00345499">
        <w:rPr>
          <w:rFonts w:eastAsia="仿宋"/>
          <w:sz w:val="32"/>
          <w:szCs w:val="32"/>
        </w:rPr>
        <w:t>”</w:t>
      </w:r>
      <w:r w:rsidRPr="00345499">
        <w:rPr>
          <w:rFonts w:eastAsia="仿宋"/>
          <w:sz w:val="32"/>
          <w:szCs w:val="32"/>
        </w:rPr>
        <w:t>为切入点转变教师儿童观，园所中无处不在的</w:t>
      </w:r>
      <w:r w:rsidRPr="00345499">
        <w:rPr>
          <w:rFonts w:eastAsia="仿宋"/>
          <w:sz w:val="32"/>
          <w:szCs w:val="32"/>
        </w:rPr>
        <w:t>“</w:t>
      </w:r>
      <w:r w:rsidRPr="00345499">
        <w:rPr>
          <w:rFonts w:eastAsia="仿宋"/>
          <w:sz w:val="32"/>
          <w:szCs w:val="32"/>
        </w:rPr>
        <w:t>儿童语言</w:t>
      </w:r>
      <w:r w:rsidRPr="00345499">
        <w:rPr>
          <w:rFonts w:eastAsia="仿宋"/>
          <w:sz w:val="32"/>
          <w:szCs w:val="32"/>
        </w:rPr>
        <w:t>”</w:t>
      </w:r>
      <w:r w:rsidRPr="00345499">
        <w:rPr>
          <w:rFonts w:eastAsia="仿宋"/>
          <w:sz w:val="32"/>
          <w:szCs w:val="32"/>
        </w:rPr>
        <w:t>，</w:t>
      </w:r>
      <w:r w:rsidRPr="00345499">
        <w:rPr>
          <w:rFonts w:eastAsia="仿宋"/>
          <w:sz w:val="32"/>
          <w:szCs w:val="32"/>
        </w:rPr>
        <w:t xml:space="preserve"> </w:t>
      </w:r>
      <w:r w:rsidRPr="00345499">
        <w:rPr>
          <w:rFonts w:eastAsia="仿宋"/>
          <w:sz w:val="32"/>
          <w:szCs w:val="32"/>
        </w:rPr>
        <w:t>表现出教师们较强的儿童观察意识，师幼互动自然而有效，教师的自我反思意识强。与幼儿生活和学习经验直接关联的过程性质量指标显示，幼儿园教育水平在不断提升，同时教师自身的专业能力、专业自信和职业幸福感也明显提升。</w:t>
      </w:r>
    </w:p>
    <w:p w:rsidR="005B78E0" w:rsidRPr="00345499" w:rsidRDefault="005B78E0" w:rsidP="005B78E0">
      <w:pPr>
        <w:numPr>
          <w:ilvl w:val="0"/>
          <w:numId w:val="1"/>
        </w:numPr>
        <w:tabs>
          <w:tab w:val="left" w:pos="1134"/>
        </w:tabs>
        <w:spacing w:line="560" w:lineRule="exact"/>
        <w:ind w:left="0" w:firstLine="640"/>
        <w:rPr>
          <w:rFonts w:eastAsia="仿宋"/>
          <w:color w:val="000000"/>
          <w:sz w:val="32"/>
          <w:szCs w:val="32"/>
        </w:rPr>
      </w:pPr>
      <w:r w:rsidRPr="00345499">
        <w:rPr>
          <w:rFonts w:eastAsia="楷体"/>
          <w:b/>
          <w:kern w:val="0"/>
          <w:sz w:val="32"/>
          <w:szCs w:val="32"/>
        </w:rPr>
        <w:t>项目实施为缩小区域差异，发挥出积极作用。</w:t>
      </w:r>
      <w:r w:rsidRPr="00345499">
        <w:rPr>
          <w:rFonts w:eastAsia="仿宋"/>
          <w:color w:val="000000"/>
          <w:sz w:val="32"/>
          <w:szCs w:val="32"/>
        </w:rPr>
        <w:t>对专家视导评估结果的分析发现，项目实施水平的区域差异虽然还存在，但因地区经济差异而导致的学前教育质量差距正在逐步缩小。例如，苏中地区的</w:t>
      </w:r>
      <w:r w:rsidRPr="00345499">
        <w:rPr>
          <w:rFonts w:eastAsia="仿宋"/>
          <w:color w:val="000000"/>
          <w:sz w:val="32"/>
          <w:szCs w:val="32"/>
        </w:rPr>
        <w:t>“</w:t>
      </w:r>
      <w:r w:rsidRPr="00345499">
        <w:rPr>
          <w:rFonts w:eastAsia="仿宋"/>
          <w:color w:val="000000"/>
          <w:sz w:val="32"/>
          <w:szCs w:val="32"/>
        </w:rPr>
        <w:t>优秀</w:t>
      </w:r>
      <w:r w:rsidRPr="00345499">
        <w:rPr>
          <w:rFonts w:eastAsia="仿宋"/>
          <w:color w:val="000000"/>
          <w:sz w:val="32"/>
          <w:szCs w:val="32"/>
        </w:rPr>
        <w:t>”</w:t>
      </w:r>
      <w:r w:rsidRPr="00345499">
        <w:rPr>
          <w:rFonts w:eastAsia="仿宋"/>
          <w:color w:val="000000"/>
          <w:sz w:val="32"/>
          <w:szCs w:val="32"/>
        </w:rPr>
        <w:t>项目占比高于苏南地区，为三类地区之最，其中扬州市三个项目幼儿园获得全优。再如，以宿迁市湖滨</w:t>
      </w:r>
      <w:proofErr w:type="gramStart"/>
      <w:r w:rsidRPr="00345499">
        <w:rPr>
          <w:rFonts w:eastAsia="仿宋"/>
          <w:color w:val="000000"/>
          <w:sz w:val="32"/>
          <w:szCs w:val="32"/>
        </w:rPr>
        <w:t>新区皂河二</w:t>
      </w:r>
      <w:proofErr w:type="gramEnd"/>
      <w:r w:rsidRPr="00345499">
        <w:rPr>
          <w:rFonts w:eastAsia="仿宋"/>
          <w:color w:val="000000"/>
          <w:sz w:val="32"/>
          <w:szCs w:val="32"/>
        </w:rPr>
        <w:t>小幼儿为代表的苏北一些项目园，教育理念转变非常明显，教师对于环境改造意识、课程</w:t>
      </w:r>
      <w:r w:rsidRPr="00345499">
        <w:rPr>
          <w:rFonts w:eastAsia="仿宋"/>
          <w:color w:val="000000"/>
          <w:sz w:val="32"/>
          <w:szCs w:val="32"/>
        </w:rPr>
        <w:lastRenderedPageBreak/>
        <w:t>资源开发意识和基于观察支持幼儿学习的意识越来越强，其课程实施水平已经超过苏南和苏中地区的很多项目幼儿园。这些案例说明，课程游戏化项目对于缩小教育的地区发展不平衡有着不可低估的作用，可以有力促进全省学前教育优质、均衡发展。</w:t>
      </w:r>
    </w:p>
    <w:p w:rsidR="005B78E0" w:rsidRPr="00345499" w:rsidRDefault="005B78E0" w:rsidP="005B78E0">
      <w:pPr>
        <w:widowControl/>
        <w:spacing w:line="560" w:lineRule="exact"/>
        <w:ind w:left="1"/>
        <w:jc w:val="center"/>
        <w:rPr>
          <w:rFonts w:eastAsia="楷体"/>
          <w:kern w:val="0"/>
          <w:sz w:val="32"/>
          <w:szCs w:val="32"/>
        </w:rPr>
      </w:pPr>
      <w:r w:rsidRPr="00345499">
        <w:rPr>
          <w:rFonts w:eastAsia="楷体"/>
          <w:kern w:val="0"/>
          <w:sz w:val="32"/>
          <w:szCs w:val="32"/>
        </w:rPr>
        <w:t>表：项目幼儿园课程实施质量的区域比较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4"/>
        <w:gridCol w:w="1704"/>
        <w:gridCol w:w="1704"/>
        <w:gridCol w:w="1705"/>
        <w:gridCol w:w="1705"/>
      </w:tblGrid>
      <w:tr w:rsidR="005B78E0" w:rsidRPr="00345499" w:rsidTr="00D94C8F">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优秀</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良好</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合格</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不合格</w:t>
            </w:r>
          </w:p>
        </w:tc>
      </w:tr>
      <w:tr w:rsidR="005B78E0" w:rsidRPr="00345499" w:rsidTr="00D94C8F">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苏南</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11</w:t>
            </w:r>
            <w:r w:rsidRPr="00345499">
              <w:rPr>
                <w:rFonts w:eastAsia="仿宋"/>
                <w:kern w:val="0"/>
                <w:sz w:val="32"/>
                <w:szCs w:val="32"/>
              </w:rPr>
              <w:t>（</w:t>
            </w:r>
            <w:r w:rsidRPr="00345499">
              <w:rPr>
                <w:rFonts w:eastAsia="仿宋"/>
                <w:kern w:val="0"/>
                <w:sz w:val="32"/>
                <w:szCs w:val="32"/>
              </w:rPr>
              <w:t>57.9%</w:t>
            </w:r>
            <w:r w:rsidRPr="00345499">
              <w:rPr>
                <w:rFonts w:eastAsia="仿宋"/>
                <w:kern w:val="0"/>
                <w:sz w:val="32"/>
                <w:szCs w:val="32"/>
              </w:rPr>
              <w:t>）</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7</w:t>
            </w:r>
            <w:r w:rsidRPr="00345499">
              <w:rPr>
                <w:rFonts w:eastAsia="仿宋"/>
                <w:kern w:val="0"/>
                <w:sz w:val="32"/>
                <w:szCs w:val="32"/>
              </w:rPr>
              <w:t>（</w:t>
            </w:r>
            <w:r w:rsidRPr="00345499">
              <w:rPr>
                <w:rFonts w:eastAsia="仿宋"/>
                <w:kern w:val="0"/>
                <w:sz w:val="32"/>
                <w:szCs w:val="32"/>
              </w:rPr>
              <w:t>36.8%</w:t>
            </w:r>
            <w:r w:rsidRPr="00345499">
              <w:rPr>
                <w:rFonts w:eastAsia="仿宋"/>
                <w:kern w:val="0"/>
                <w:sz w:val="32"/>
                <w:szCs w:val="32"/>
              </w:rPr>
              <w:t>）</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1</w:t>
            </w:r>
            <w:r w:rsidRPr="00345499">
              <w:rPr>
                <w:rFonts w:eastAsia="仿宋"/>
                <w:kern w:val="0"/>
                <w:sz w:val="32"/>
                <w:szCs w:val="32"/>
              </w:rPr>
              <w:t>（</w:t>
            </w:r>
            <w:r w:rsidRPr="00345499">
              <w:rPr>
                <w:rFonts w:eastAsia="仿宋"/>
                <w:kern w:val="0"/>
                <w:sz w:val="32"/>
                <w:szCs w:val="32"/>
              </w:rPr>
              <w:t>5.3%</w:t>
            </w:r>
            <w:r w:rsidRPr="00345499">
              <w:rPr>
                <w:rFonts w:eastAsia="仿宋"/>
                <w:kern w:val="0"/>
                <w:sz w:val="32"/>
                <w:szCs w:val="32"/>
              </w:rPr>
              <w:t>）</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p>
        </w:tc>
      </w:tr>
      <w:tr w:rsidR="005B78E0" w:rsidRPr="00345499" w:rsidTr="00D94C8F">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苏中</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6"/>
                <w:szCs w:val="36"/>
              </w:rPr>
            </w:pPr>
            <w:r w:rsidRPr="00345499">
              <w:rPr>
                <w:rFonts w:eastAsia="仿宋"/>
                <w:kern w:val="0"/>
                <w:sz w:val="36"/>
                <w:szCs w:val="36"/>
              </w:rPr>
              <w:t>6</w:t>
            </w:r>
            <w:r w:rsidRPr="00345499">
              <w:rPr>
                <w:rFonts w:eastAsia="仿宋"/>
                <w:kern w:val="0"/>
                <w:sz w:val="36"/>
                <w:szCs w:val="36"/>
              </w:rPr>
              <w:t>（</w:t>
            </w:r>
            <w:r w:rsidRPr="00345499">
              <w:rPr>
                <w:rFonts w:eastAsia="仿宋"/>
                <w:kern w:val="0"/>
                <w:sz w:val="36"/>
                <w:szCs w:val="36"/>
              </w:rPr>
              <w:t>60.0%</w:t>
            </w:r>
            <w:r w:rsidRPr="00345499">
              <w:rPr>
                <w:rFonts w:eastAsia="仿宋"/>
                <w:kern w:val="0"/>
                <w:sz w:val="36"/>
                <w:szCs w:val="36"/>
              </w:rPr>
              <w:t>）</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4</w:t>
            </w:r>
            <w:r w:rsidRPr="00345499">
              <w:rPr>
                <w:rFonts w:eastAsia="仿宋"/>
                <w:kern w:val="0"/>
                <w:sz w:val="32"/>
                <w:szCs w:val="32"/>
              </w:rPr>
              <w:t>（</w:t>
            </w:r>
            <w:r w:rsidRPr="00345499">
              <w:rPr>
                <w:rFonts w:eastAsia="仿宋"/>
                <w:kern w:val="0"/>
                <w:sz w:val="32"/>
                <w:szCs w:val="32"/>
              </w:rPr>
              <w:t>40.0%</w:t>
            </w:r>
            <w:r w:rsidRPr="00345499">
              <w:rPr>
                <w:rFonts w:eastAsia="仿宋"/>
                <w:kern w:val="0"/>
                <w:sz w:val="32"/>
                <w:szCs w:val="32"/>
              </w:rPr>
              <w:t>）</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p>
        </w:tc>
      </w:tr>
      <w:tr w:rsidR="005B78E0" w:rsidRPr="00345499" w:rsidTr="00D94C8F">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苏北</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6</w:t>
            </w:r>
            <w:r w:rsidRPr="00345499">
              <w:rPr>
                <w:rFonts w:eastAsia="仿宋"/>
                <w:kern w:val="0"/>
                <w:sz w:val="32"/>
                <w:szCs w:val="32"/>
              </w:rPr>
              <w:t>（</w:t>
            </w:r>
            <w:r w:rsidRPr="00345499">
              <w:rPr>
                <w:rFonts w:eastAsia="仿宋"/>
                <w:kern w:val="0"/>
                <w:sz w:val="32"/>
                <w:szCs w:val="32"/>
              </w:rPr>
              <w:t>35.3%</w:t>
            </w:r>
            <w:r w:rsidRPr="00345499">
              <w:rPr>
                <w:rFonts w:eastAsia="仿宋"/>
                <w:kern w:val="0"/>
                <w:sz w:val="32"/>
                <w:szCs w:val="32"/>
              </w:rPr>
              <w:t>）</w:t>
            </w:r>
          </w:p>
        </w:tc>
        <w:tc>
          <w:tcPr>
            <w:tcW w:w="1704"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8</w:t>
            </w:r>
            <w:r w:rsidRPr="00345499">
              <w:rPr>
                <w:rFonts w:eastAsia="仿宋"/>
                <w:kern w:val="0"/>
                <w:sz w:val="32"/>
                <w:szCs w:val="32"/>
              </w:rPr>
              <w:t>（</w:t>
            </w:r>
            <w:r w:rsidRPr="00345499">
              <w:rPr>
                <w:rFonts w:eastAsia="仿宋"/>
                <w:kern w:val="0"/>
                <w:sz w:val="32"/>
                <w:szCs w:val="32"/>
              </w:rPr>
              <w:t>47.1%</w:t>
            </w:r>
            <w:r w:rsidRPr="00345499">
              <w:rPr>
                <w:rFonts w:eastAsia="仿宋"/>
                <w:kern w:val="0"/>
                <w:sz w:val="32"/>
                <w:szCs w:val="32"/>
              </w:rPr>
              <w:t>）</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2</w:t>
            </w:r>
            <w:r w:rsidRPr="00345499">
              <w:rPr>
                <w:rFonts w:eastAsia="仿宋"/>
                <w:kern w:val="0"/>
                <w:sz w:val="32"/>
                <w:szCs w:val="32"/>
              </w:rPr>
              <w:t>（</w:t>
            </w:r>
            <w:r w:rsidRPr="00345499">
              <w:rPr>
                <w:rFonts w:eastAsia="仿宋"/>
                <w:kern w:val="0"/>
                <w:sz w:val="32"/>
                <w:szCs w:val="32"/>
              </w:rPr>
              <w:t>11.8%</w:t>
            </w:r>
            <w:r w:rsidRPr="00345499">
              <w:rPr>
                <w:rFonts w:eastAsia="仿宋"/>
                <w:kern w:val="0"/>
                <w:sz w:val="32"/>
                <w:szCs w:val="32"/>
              </w:rPr>
              <w:t>）</w:t>
            </w:r>
          </w:p>
        </w:tc>
        <w:tc>
          <w:tcPr>
            <w:tcW w:w="1705" w:type="dxa"/>
            <w:tcBorders>
              <w:top w:val="single" w:sz="4" w:space="0" w:color="auto"/>
              <w:left w:val="single" w:sz="4" w:space="0" w:color="auto"/>
              <w:bottom w:val="single" w:sz="4" w:space="0" w:color="auto"/>
              <w:right w:val="single" w:sz="4" w:space="0" w:color="auto"/>
            </w:tcBorders>
          </w:tcPr>
          <w:p w:rsidR="005B78E0" w:rsidRPr="00345499" w:rsidRDefault="005B78E0" w:rsidP="00D94C8F">
            <w:pPr>
              <w:spacing w:line="560" w:lineRule="exact"/>
              <w:jc w:val="center"/>
              <w:rPr>
                <w:rFonts w:eastAsia="仿宋"/>
                <w:kern w:val="0"/>
                <w:sz w:val="32"/>
                <w:szCs w:val="32"/>
              </w:rPr>
            </w:pPr>
            <w:r w:rsidRPr="00345499">
              <w:rPr>
                <w:rFonts w:eastAsia="仿宋"/>
                <w:kern w:val="0"/>
                <w:sz w:val="32"/>
                <w:szCs w:val="32"/>
              </w:rPr>
              <w:t>1</w:t>
            </w:r>
            <w:r w:rsidRPr="00345499">
              <w:rPr>
                <w:rFonts w:eastAsia="仿宋"/>
                <w:kern w:val="0"/>
                <w:sz w:val="32"/>
                <w:szCs w:val="32"/>
              </w:rPr>
              <w:t>（</w:t>
            </w:r>
            <w:r w:rsidRPr="00345499">
              <w:rPr>
                <w:rFonts w:eastAsia="仿宋"/>
                <w:kern w:val="0"/>
                <w:sz w:val="32"/>
                <w:szCs w:val="32"/>
              </w:rPr>
              <w:t>5.8%</w:t>
            </w:r>
            <w:r w:rsidRPr="00345499">
              <w:rPr>
                <w:rFonts w:eastAsia="仿宋"/>
                <w:kern w:val="0"/>
                <w:sz w:val="32"/>
                <w:szCs w:val="32"/>
              </w:rPr>
              <w:t>）</w:t>
            </w:r>
          </w:p>
        </w:tc>
      </w:tr>
    </w:tbl>
    <w:p w:rsidR="005B78E0" w:rsidRPr="00345499" w:rsidRDefault="005B78E0" w:rsidP="005B78E0">
      <w:pPr>
        <w:widowControl/>
        <w:spacing w:line="560" w:lineRule="exact"/>
        <w:jc w:val="center"/>
        <w:rPr>
          <w:rFonts w:eastAsia="仿宋"/>
          <w:color w:val="000000"/>
          <w:sz w:val="32"/>
          <w:szCs w:val="32"/>
        </w:rPr>
      </w:pPr>
    </w:p>
    <w:p w:rsidR="005B78E0" w:rsidRPr="00345499" w:rsidRDefault="005B78E0" w:rsidP="005B78E0">
      <w:pPr>
        <w:spacing w:line="560" w:lineRule="exact"/>
        <w:ind w:firstLineChars="200" w:firstLine="643"/>
        <w:rPr>
          <w:rFonts w:eastAsia="黑体"/>
          <w:b/>
          <w:bCs/>
          <w:sz w:val="32"/>
          <w:szCs w:val="32"/>
        </w:rPr>
      </w:pPr>
      <w:r w:rsidRPr="00345499">
        <w:rPr>
          <w:rFonts w:eastAsia="黑体"/>
          <w:b/>
          <w:bCs/>
          <w:sz w:val="32"/>
          <w:szCs w:val="32"/>
        </w:rPr>
        <w:t>二、存在的问题和下阶段努力的方向</w:t>
      </w:r>
    </w:p>
    <w:p w:rsidR="005B78E0" w:rsidRPr="00345499" w:rsidRDefault="005B78E0" w:rsidP="005B78E0">
      <w:pPr>
        <w:numPr>
          <w:ilvl w:val="0"/>
          <w:numId w:val="2"/>
        </w:numPr>
        <w:tabs>
          <w:tab w:val="left" w:pos="1134"/>
        </w:tabs>
        <w:spacing w:line="560" w:lineRule="exact"/>
        <w:ind w:left="0" w:firstLine="640"/>
        <w:rPr>
          <w:rFonts w:eastAsia="仿宋"/>
          <w:b/>
          <w:sz w:val="32"/>
          <w:szCs w:val="32"/>
        </w:rPr>
      </w:pPr>
      <w:r w:rsidRPr="00345499">
        <w:rPr>
          <w:rFonts w:eastAsia="楷体"/>
          <w:b/>
          <w:sz w:val="32"/>
          <w:szCs w:val="32"/>
        </w:rPr>
        <w:t>区域推动不力影响项目实施质量。</w:t>
      </w:r>
      <w:r w:rsidRPr="00345499">
        <w:rPr>
          <w:rFonts w:eastAsia="仿宋"/>
          <w:color w:val="000000"/>
          <w:sz w:val="32"/>
          <w:szCs w:val="32"/>
        </w:rPr>
        <w:t>本次视导发现，某些地区推动课程游戏化方向不够恰当、思路不够清晰、指导不够专业，影响了项目实施的质量。</w:t>
      </w:r>
      <w:r w:rsidRPr="00345499">
        <w:rPr>
          <w:rFonts w:eastAsia="仿宋"/>
          <w:sz w:val="32"/>
          <w:szCs w:val="32"/>
        </w:rPr>
        <w:t>例如，某项</w:t>
      </w:r>
      <w:r w:rsidRPr="00345499">
        <w:rPr>
          <w:rFonts w:eastAsia="仿宋"/>
          <w:color w:val="000000"/>
          <w:sz w:val="32"/>
          <w:szCs w:val="32"/>
        </w:rPr>
        <w:t>目建设幼儿园刚刚进行过园舍改造，但是依旧存在</w:t>
      </w:r>
      <w:r w:rsidRPr="00345499">
        <w:rPr>
          <w:rFonts w:eastAsia="仿宋"/>
          <w:sz w:val="32"/>
          <w:szCs w:val="32"/>
        </w:rPr>
        <w:t>几个班级共用一个卫生间，一个教室只有一个门等不符合办</w:t>
      </w:r>
      <w:proofErr w:type="gramStart"/>
      <w:r w:rsidRPr="00345499">
        <w:rPr>
          <w:rFonts w:eastAsia="仿宋"/>
          <w:sz w:val="32"/>
          <w:szCs w:val="32"/>
        </w:rPr>
        <w:t>园基本</w:t>
      </w:r>
      <w:proofErr w:type="gramEnd"/>
      <w:r w:rsidRPr="00345499">
        <w:rPr>
          <w:rFonts w:eastAsia="仿宋"/>
          <w:sz w:val="32"/>
          <w:szCs w:val="32"/>
        </w:rPr>
        <w:t>条件的现象，</w:t>
      </w:r>
      <w:r w:rsidRPr="00345499">
        <w:rPr>
          <w:rFonts w:eastAsia="仿宋"/>
          <w:color w:val="000000"/>
          <w:sz w:val="32"/>
          <w:szCs w:val="32"/>
        </w:rPr>
        <w:t>而这所幼儿园的</w:t>
      </w:r>
      <w:proofErr w:type="gramStart"/>
      <w:r w:rsidRPr="00345499">
        <w:rPr>
          <w:rFonts w:eastAsia="仿宋"/>
          <w:color w:val="000000"/>
          <w:sz w:val="32"/>
          <w:szCs w:val="32"/>
        </w:rPr>
        <w:t>帮扶园</w:t>
      </w:r>
      <w:proofErr w:type="gramEnd"/>
      <w:r w:rsidRPr="00345499">
        <w:rPr>
          <w:rFonts w:eastAsia="仿宋"/>
          <w:color w:val="000000"/>
          <w:sz w:val="32"/>
          <w:szCs w:val="32"/>
        </w:rPr>
        <w:t>却获得了当地更多的财政经费支持，两所幼儿园之间的差距没有缩小反而进一步拉大。再如苏北某市几所幼儿园同时存在着室内外环境改造缺乏儿童意识，区域材料贫乏，活动组织</w:t>
      </w:r>
      <w:r w:rsidRPr="00345499">
        <w:rPr>
          <w:rFonts w:eastAsia="仿宋"/>
          <w:color w:val="000000"/>
          <w:sz w:val="32"/>
          <w:szCs w:val="32"/>
        </w:rPr>
        <w:t>“</w:t>
      </w:r>
      <w:r w:rsidRPr="00345499">
        <w:rPr>
          <w:rFonts w:eastAsia="仿宋"/>
          <w:color w:val="000000"/>
          <w:sz w:val="32"/>
          <w:szCs w:val="32"/>
        </w:rPr>
        <w:t>小学化</w:t>
      </w:r>
      <w:r w:rsidRPr="00345499">
        <w:rPr>
          <w:rFonts w:eastAsia="仿宋"/>
          <w:color w:val="000000"/>
          <w:sz w:val="32"/>
          <w:szCs w:val="32"/>
        </w:rPr>
        <w:t>”</w:t>
      </w:r>
      <w:r w:rsidRPr="00345499">
        <w:rPr>
          <w:rFonts w:eastAsia="仿宋"/>
          <w:color w:val="000000"/>
          <w:sz w:val="32"/>
          <w:szCs w:val="32"/>
        </w:rPr>
        <w:t>等问题，远未达到课程游戏化项目的实施要求。</w:t>
      </w:r>
    </w:p>
    <w:p w:rsidR="005B78E0" w:rsidRPr="00345499" w:rsidRDefault="005B78E0" w:rsidP="005B78E0">
      <w:pPr>
        <w:numPr>
          <w:ilvl w:val="0"/>
          <w:numId w:val="2"/>
        </w:numPr>
        <w:tabs>
          <w:tab w:val="left" w:pos="1134"/>
        </w:tabs>
        <w:spacing w:line="560" w:lineRule="exact"/>
        <w:ind w:left="0" w:firstLine="640"/>
        <w:rPr>
          <w:rFonts w:eastAsia="仿宋"/>
          <w:sz w:val="32"/>
          <w:szCs w:val="32"/>
        </w:rPr>
      </w:pPr>
      <w:r w:rsidRPr="00345499">
        <w:rPr>
          <w:rFonts w:eastAsia="楷体"/>
          <w:b/>
          <w:sz w:val="32"/>
          <w:szCs w:val="32"/>
        </w:rPr>
        <w:t>结构性质量指标的影响有待重视。</w:t>
      </w:r>
      <w:r w:rsidRPr="00345499">
        <w:rPr>
          <w:rFonts w:eastAsia="仿宋"/>
          <w:sz w:val="32"/>
          <w:szCs w:val="32"/>
        </w:rPr>
        <w:t>结构性质量是指教育者及教育环境的特征，包括师幼比</w:t>
      </w:r>
      <w:r w:rsidRPr="00345499">
        <w:rPr>
          <w:rFonts w:eastAsia="仿宋"/>
          <w:color w:val="000000"/>
          <w:sz w:val="32"/>
          <w:szCs w:val="32"/>
        </w:rPr>
        <w:t>、办学条件、教师专</w:t>
      </w:r>
      <w:r w:rsidRPr="00345499">
        <w:rPr>
          <w:rFonts w:eastAsia="仿宋"/>
          <w:color w:val="000000"/>
          <w:sz w:val="32"/>
          <w:szCs w:val="32"/>
        </w:rPr>
        <w:lastRenderedPageBreak/>
        <w:t>业资格、教师收入等指标。</w:t>
      </w:r>
      <w:r w:rsidRPr="00345499">
        <w:rPr>
          <w:rFonts w:eastAsia="仿宋"/>
          <w:sz w:val="32"/>
          <w:szCs w:val="32"/>
        </w:rPr>
        <w:t>本次视导发现，部分地区项目园中存在较为严重</w:t>
      </w:r>
      <w:proofErr w:type="gramStart"/>
      <w:r w:rsidRPr="00345499">
        <w:rPr>
          <w:rFonts w:eastAsia="仿宋"/>
          <w:sz w:val="32"/>
          <w:szCs w:val="32"/>
        </w:rPr>
        <w:t>的超班额</w:t>
      </w:r>
      <w:proofErr w:type="gramEnd"/>
      <w:r w:rsidRPr="00345499">
        <w:rPr>
          <w:rFonts w:eastAsia="仿宋"/>
          <w:sz w:val="32"/>
          <w:szCs w:val="32"/>
        </w:rPr>
        <w:t>现象，导致师幼比远低于规定。课程游戏化项目对教师的专业素养提出了更高的要求，如果一味向教师提要求而不从改善教师工作环境和工作待遇的角度去努力，就难以持久地激发教师的工作热情，过程性质量提升的效果就难以巩固。各地应在提升学前教育的结构性质量指标上下功夫，补齐制约学前教育发展的短板，还清历史欠账，为教师的专业成长和幼儿的健康成长创设更好的条件。</w:t>
      </w:r>
    </w:p>
    <w:p w:rsidR="005B78E0" w:rsidRPr="00345499" w:rsidRDefault="005B78E0" w:rsidP="005B78E0">
      <w:pPr>
        <w:numPr>
          <w:ilvl w:val="0"/>
          <w:numId w:val="2"/>
        </w:numPr>
        <w:tabs>
          <w:tab w:val="left" w:pos="1134"/>
        </w:tabs>
        <w:spacing w:line="560" w:lineRule="exact"/>
        <w:ind w:left="0" w:firstLine="640"/>
        <w:rPr>
          <w:rFonts w:eastAsia="仿宋"/>
          <w:sz w:val="32"/>
          <w:szCs w:val="32"/>
        </w:rPr>
      </w:pPr>
      <w:r w:rsidRPr="00345499">
        <w:rPr>
          <w:rFonts w:eastAsia="楷体"/>
          <w:b/>
          <w:sz w:val="32"/>
          <w:szCs w:val="32"/>
        </w:rPr>
        <w:t>项目推进中的反思意识有待加强。</w:t>
      </w:r>
      <w:r w:rsidRPr="00345499">
        <w:rPr>
          <w:rFonts w:eastAsia="仿宋"/>
          <w:sz w:val="32"/>
          <w:szCs w:val="32"/>
        </w:rPr>
        <w:t>一些幼儿园在进行环境创设、实施一日作息时间弹性管理及进行生活环节的教育价值挖掘等实践中，教师的教育行为还处于模仿阶段，往往机械照搬别人的经验，很少去思考为什么要做这些改变，以及如何在学习别人经验的基础上做出符合自身实际的调整。区域活动材料投放存在本本主义的倾向，很少去思考材料对不同幼儿的学习与发展价值，对材料的适宜性、趣味性、多元性、挑战性研究不够。视导发现，虽然今年</w:t>
      </w:r>
      <w:proofErr w:type="gramStart"/>
      <w:r w:rsidRPr="00345499">
        <w:rPr>
          <w:rFonts w:eastAsia="仿宋"/>
          <w:sz w:val="32"/>
          <w:szCs w:val="32"/>
        </w:rPr>
        <w:t>项目园</w:t>
      </w:r>
      <w:proofErr w:type="gramEnd"/>
      <w:r w:rsidRPr="00345499">
        <w:rPr>
          <w:rFonts w:eastAsia="仿宋"/>
          <w:sz w:val="32"/>
          <w:szCs w:val="32"/>
        </w:rPr>
        <w:t>在图书资源方面有较大投入，阅读区图书的数量和质量均有改观，但班级阅读区提供的图书与幼儿当下的生活和经验（如季节、主题等）联系不够，难以引发幼儿的阅读兴趣。再比如，各幼儿园普遍</w:t>
      </w:r>
      <w:proofErr w:type="gramStart"/>
      <w:r w:rsidRPr="00345499">
        <w:rPr>
          <w:rFonts w:eastAsia="仿宋"/>
          <w:sz w:val="32"/>
          <w:szCs w:val="32"/>
        </w:rPr>
        <w:t>存在科</w:t>
      </w:r>
      <w:proofErr w:type="gramEnd"/>
      <w:r w:rsidRPr="00345499">
        <w:rPr>
          <w:rFonts w:eastAsia="仿宋"/>
          <w:sz w:val="32"/>
          <w:szCs w:val="32"/>
        </w:rPr>
        <w:t>发室、美工室等功能室利用率低、与班级游戏区域的功能重复等问题，如何从资源有效利用的角度去解决这一现象有待研究跟进。幼儿园学习环境创设缺乏整体性和协调性，比如班级色彩杂乱，整体色调不够和谐，没有考虑室内与室外、班级区域与功能室之间的互补性和整合性。</w:t>
      </w:r>
      <w:r w:rsidRPr="00345499">
        <w:rPr>
          <w:rFonts w:eastAsia="仿宋"/>
          <w:sz w:val="32"/>
          <w:szCs w:val="32"/>
        </w:rPr>
        <w:lastRenderedPageBreak/>
        <w:t>由于缺乏反思和研究意识，有些幼儿园教师在工作中常常顾此失彼，例如在生活环节重视通过自主签到、自主餐点等方式培养幼儿的自主性，却忽视了对幼儿进行必要的常规教育和习惯培养。</w:t>
      </w:r>
    </w:p>
    <w:p w:rsidR="005B78E0" w:rsidRPr="00345499" w:rsidRDefault="005B78E0" w:rsidP="005B78E0">
      <w:pPr>
        <w:numPr>
          <w:ilvl w:val="0"/>
          <w:numId w:val="2"/>
        </w:numPr>
        <w:tabs>
          <w:tab w:val="left" w:pos="1134"/>
        </w:tabs>
        <w:spacing w:line="560" w:lineRule="exact"/>
        <w:ind w:left="0" w:firstLine="640"/>
        <w:rPr>
          <w:rFonts w:eastAsia="仿宋"/>
          <w:sz w:val="32"/>
          <w:szCs w:val="32"/>
        </w:rPr>
      </w:pPr>
      <w:r w:rsidRPr="00345499">
        <w:rPr>
          <w:rFonts w:eastAsia="楷体"/>
          <w:b/>
          <w:sz w:val="32"/>
          <w:szCs w:val="32"/>
        </w:rPr>
        <w:t>课程审议意识和能力有待提升。</w:t>
      </w:r>
      <w:r w:rsidRPr="00345499">
        <w:rPr>
          <w:rFonts w:eastAsia="仿宋"/>
          <w:sz w:val="32"/>
          <w:szCs w:val="32"/>
        </w:rPr>
        <w:t>课程游戏化项目的实施赋予各幼儿园更大的课程自主权，因而课程审议的重要性也日益凸显，提升一线教师的课程审议意识和能力显得尤为迫切。在形成园级、年级、班级三级审议制度的同时，如何真正发挥课程审议的理念分享、课程认同、策略催生及民主营造作用显得越发紧要。除了通过课程审议生成课程外，对已有课程的均衡性审议也显得十分必要。例如，农村幼儿园的音乐教育相对忽视，幼儿缺少感受与欣赏音乐的机会，因此需要集体审议如何将音乐巧妙融入一日活动中。课程审议作为幼儿园课程游戏化建设的核心举措，需要提高教师们的协同研究、自主内化和学习迁移能力，要把教师团队建设成为真正意义上的学习型组织。</w:t>
      </w:r>
    </w:p>
    <w:p w:rsidR="005B78E0" w:rsidRPr="00345499" w:rsidRDefault="005B78E0" w:rsidP="005B78E0">
      <w:pPr>
        <w:numPr>
          <w:ilvl w:val="0"/>
          <w:numId w:val="2"/>
        </w:numPr>
        <w:tabs>
          <w:tab w:val="left" w:pos="1134"/>
        </w:tabs>
        <w:spacing w:line="560" w:lineRule="exact"/>
        <w:ind w:left="0" w:firstLine="640"/>
        <w:rPr>
          <w:rFonts w:eastAsia="仿宋_GB2312"/>
          <w:sz w:val="32"/>
          <w:szCs w:val="32"/>
        </w:rPr>
      </w:pPr>
      <w:r w:rsidRPr="00345499">
        <w:rPr>
          <w:rFonts w:eastAsia="楷体"/>
          <w:b/>
          <w:sz w:val="32"/>
          <w:szCs w:val="32"/>
        </w:rPr>
        <w:t>基于真实问题的教研活动有待深入。</w:t>
      </w:r>
      <w:r w:rsidRPr="00345499">
        <w:rPr>
          <w:rFonts w:eastAsia="仿宋"/>
          <w:sz w:val="32"/>
          <w:szCs w:val="32"/>
        </w:rPr>
        <w:t>视导发现，</w:t>
      </w:r>
      <w:r w:rsidRPr="00345499">
        <w:rPr>
          <w:rFonts w:eastAsia="仿宋"/>
          <w:sz w:val="32"/>
          <w:szCs w:val="32"/>
        </w:rPr>
        <w:t>2017</w:t>
      </w:r>
      <w:r w:rsidRPr="00345499">
        <w:rPr>
          <w:rFonts w:eastAsia="仿宋"/>
          <w:sz w:val="32"/>
          <w:szCs w:val="32"/>
        </w:rPr>
        <w:t>年《江苏省教育厅关于加强学前教育教研工作的意见》出台后，各地在专兼职教研员队伍的建设方面都有行动，也制订了相应的地方实施细则，但在如何发挥省、市、区三级专、兼职教研队伍的作用方面还有待探索；教研活动浮于表面的现象也时有存在，甚至有为了应付检查，把精力放在做台</w:t>
      </w:r>
      <w:proofErr w:type="gramStart"/>
      <w:r w:rsidRPr="00345499">
        <w:rPr>
          <w:rFonts w:eastAsia="仿宋"/>
          <w:sz w:val="32"/>
          <w:szCs w:val="32"/>
        </w:rPr>
        <w:t>账资料</w:t>
      </w:r>
      <w:proofErr w:type="gramEnd"/>
      <w:r w:rsidRPr="00345499">
        <w:rPr>
          <w:rFonts w:eastAsia="仿宋"/>
          <w:sz w:val="32"/>
          <w:szCs w:val="32"/>
        </w:rPr>
        <w:t>上，将教师的学习笔记和会议记录装订成册作为</w:t>
      </w:r>
      <w:r w:rsidRPr="00345499">
        <w:rPr>
          <w:rFonts w:eastAsia="仿宋"/>
          <w:sz w:val="32"/>
          <w:szCs w:val="32"/>
        </w:rPr>
        <w:t>“</w:t>
      </w:r>
      <w:r w:rsidRPr="00345499">
        <w:rPr>
          <w:rFonts w:eastAsia="仿宋"/>
          <w:sz w:val="32"/>
          <w:szCs w:val="32"/>
        </w:rPr>
        <w:t>教研成果</w:t>
      </w:r>
      <w:r w:rsidRPr="00345499">
        <w:rPr>
          <w:rFonts w:eastAsia="仿宋"/>
          <w:sz w:val="32"/>
          <w:szCs w:val="32"/>
        </w:rPr>
        <w:t>”</w:t>
      </w:r>
      <w:r w:rsidRPr="00345499">
        <w:rPr>
          <w:rFonts w:eastAsia="仿宋"/>
          <w:sz w:val="32"/>
          <w:szCs w:val="32"/>
        </w:rPr>
        <w:t>。需要指出的是，教研活动的效果是需要通过教研活动之</w:t>
      </w:r>
      <w:r w:rsidRPr="00345499">
        <w:rPr>
          <w:rFonts w:eastAsia="仿宋"/>
          <w:sz w:val="32"/>
          <w:szCs w:val="32"/>
        </w:rPr>
        <w:lastRenderedPageBreak/>
        <w:t>前问题调研、经验收集和教研方案设计，教研过程中鼓励人人卷入、平等对话并达成共识，教研活动之后将研讨成果再实践、再推进等一系列持续的过程来实现的。下一阶段，各地要加强对专兼职教研人员的参与式培训，提高教研人员的专业水平。幼教专干、教研员、课程专家等要与教师共同学习与反思，通过现场教研解决课程游戏化实施中的难点问题。</w:t>
      </w:r>
    </w:p>
    <w:p w:rsidR="005B78E0" w:rsidRPr="00345499" w:rsidRDefault="005B78E0" w:rsidP="005B78E0">
      <w:pPr>
        <w:spacing w:line="560" w:lineRule="exact"/>
        <w:jc w:val="left"/>
        <w:rPr>
          <w:rFonts w:eastAsia="仿宋_GB2312"/>
          <w:sz w:val="32"/>
          <w:szCs w:val="32"/>
        </w:rPr>
      </w:pPr>
    </w:p>
    <w:p w:rsidR="005B78E0" w:rsidRPr="00345499" w:rsidRDefault="005B78E0" w:rsidP="005B78E0">
      <w:pPr>
        <w:spacing w:line="560" w:lineRule="exact"/>
        <w:jc w:val="left"/>
        <w:rPr>
          <w:rFonts w:eastAsia="仿宋_GB2312"/>
          <w:sz w:val="32"/>
          <w:szCs w:val="32"/>
        </w:rPr>
      </w:pPr>
      <w:bookmarkStart w:id="0" w:name="_GoBack"/>
      <w:bookmarkEnd w:id="0"/>
    </w:p>
    <w:tbl>
      <w:tblPr>
        <w:tblW w:w="0" w:type="auto"/>
        <w:tblLayout w:type="fixed"/>
        <w:tblLook w:val="0000" w:firstRow="0" w:lastRow="0" w:firstColumn="0" w:lastColumn="0" w:noHBand="0" w:noVBand="0"/>
      </w:tblPr>
      <w:tblGrid>
        <w:gridCol w:w="976"/>
        <w:gridCol w:w="3570"/>
        <w:gridCol w:w="2100"/>
        <w:gridCol w:w="1980"/>
      </w:tblGrid>
      <w:tr w:rsidR="005B78E0" w:rsidRPr="00345499" w:rsidTr="00D94C8F">
        <w:trPr>
          <w:trHeight w:val="885"/>
        </w:trPr>
        <w:tc>
          <w:tcPr>
            <w:tcW w:w="8626" w:type="dxa"/>
            <w:gridSpan w:val="4"/>
            <w:tcBorders>
              <w:top w:val="nil"/>
              <w:left w:val="nil"/>
              <w:bottom w:val="single" w:sz="4" w:space="0" w:color="auto"/>
              <w:right w:val="nil"/>
            </w:tcBorders>
            <w:vAlign w:val="center"/>
          </w:tcPr>
          <w:p w:rsidR="005B78E0" w:rsidRPr="00345499" w:rsidRDefault="005B78E0" w:rsidP="00D94C8F">
            <w:pPr>
              <w:spacing w:line="560" w:lineRule="exact"/>
              <w:jc w:val="center"/>
              <w:rPr>
                <w:rFonts w:eastAsia="华文中宋"/>
                <w:color w:val="000000"/>
                <w:sz w:val="36"/>
                <w:szCs w:val="36"/>
              </w:rPr>
            </w:pPr>
            <w:r w:rsidRPr="00345499">
              <w:rPr>
                <w:rFonts w:eastAsia="华文中宋"/>
                <w:color w:val="000000"/>
                <w:sz w:val="36"/>
                <w:szCs w:val="36"/>
              </w:rPr>
              <w:t>江苏省幼儿园课程游戏化项目</w:t>
            </w:r>
          </w:p>
          <w:p w:rsidR="005B78E0" w:rsidRPr="00345499" w:rsidRDefault="005B78E0" w:rsidP="00D94C8F">
            <w:pPr>
              <w:spacing w:line="560" w:lineRule="exact"/>
              <w:jc w:val="center"/>
              <w:rPr>
                <w:rFonts w:eastAsia="华文中宋"/>
                <w:color w:val="000000"/>
                <w:sz w:val="44"/>
                <w:szCs w:val="44"/>
              </w:rPr>
            </w:pPr>
            <w:r w:rsidRPr="00345499">
              <w:rPr>
                <w:rFonts w:eastAsia="华文中宋"/>
                <w:color w:val="000000"/>
                <w:sz w:val="36"/>
                <w:szCs w:val="36"/>
              </w:rPr>
              <w:t>2017</w:t>
            </w:r>
            <w:r w:rsidRPr="00345499">
              <w:rPr>
                <w:rFonts w:eastAsia="华文中宋"/>
                <w:color w:val="000000"/>
                <w:sz w:val="36"/>
                <w:szCs w:val="36"/>
              </w:rPr>
              <w:t>年度视导等级评定结果</w:t>
            </w:r>
          </w:p>
        </w:tc>
      </w:tr>
      <w:tr w:rsidR="005B78E0" w:rsidRPr="00345499" w:rsidTr="00D94C8F">
        <w:trPr>
          <w:trHeight w:val="750"/>
        </w:trPr>
        <w:tc>
          <w:tcPr>
            <w:tcW w:w="976"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b/>
                <w:bCs/>
                <w:color w:val="000000"/>
                <w:kern w:val="0"/>
                <w:sz w:val="24"/>
              </w:rPr>
            </w:pPr>
            <w:r w:rsidRPr="00345499">
              <w:rPr>
                <w:b/>
                <w:bCs/>
                <w:color w:val="000000"/>
                <w:kern w:val="0"/>
                <w:sz w:val="24"/>
              </w:rPr>
              <w:t>市别</w:t>
            </w: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b/>
                <w:bCs/>
                <w:color w:val="000000"/>
                <w:kern w:val="0"/>
                <w:sz w:val="24"/>
              </w:rPr>
            </w:pPr>
            <w:r w:rsidRPr="00345499">
              <w:rPr>
                <w:b/>
                <w:bCs/>
                <w:color w:val="000000"/>
                <w:kern w:val="0"/>
                <w:sz w:val="24"/>
              </w:rPr>
              <w:t>幼儿园名称</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b/>
                <w:bCs/>
                <w:color w:val="000000"/>
                <w:kern w:val="0"/>
                <w:sz w:val="24"/>
              </w:rPr>
            </w:pPr>
            <w:r w:rsidRPr="00345499">
              <w:rPr>
                <w:b/>
                <w:bCs/>
                <w:color w:val="000000"/>
                <w:kern w:val="0"/>
                <w:sz w:val="24"/>
              </w:rPr>
              <w:t>课程实施等级</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b/>
                <w:bCs/>
                <w:color w:val="000000"/>
                <w:kern w:val="0"/>
                <w:sz w:val="24"/>
              </w:rPr>
            </w:pPr>
            <w:r w:rsidRPr="00345499">
              <w:rPr>
                <w:b/>
                <w:bCs/>
                <w:color w:val="000000"/>
                <w:kern w:val="0"/>
                <w:sz w:val="24"/>
              </w:rPr>
              <w:t>办学条件等级</w:t>
            </w:r>
          </w:p>
        </w:tc>
      </w:tr>
      <w:tr w:rsidR="005B78E0" w:rsidRPr="00345499" w:rsidTr="00D94C8F">
        <w:trPr>
          <w:trHeight w:val="402"/>
        </w:trPr>
        <w:tc>
          <w:tcPr>
            <w:tcW w:w="976" w:type="dxa"/>
            <w:vMerge w:val="restart"/>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南京</w:t>
            </w: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南京市爱达幼儿园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南京市江宁区上峰幼儿园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南京市溧水区石</w:t>
            </w:r>
            <w:proofErr w:type="gramStart"/>
            <w:r w:rsidRPr="00345499">
              <w:rPr>
                <w:color w:val="000000"/>
                <w:kern w:val="0"/>
                <w:sz w:val="22"/>
              </w:rPr>
              <w:t>湫</w:t>
            </w:r>
            <w:proofErr w:type="gramEnd"/>
            <w:r w:rsidRPr="00345499">
              <w:rPr>
                <w:color w:val="000000"/>
                <w:kern w:val="0"/>
                <w:sz w:val="22"/>
              </w:rPr>
              <w:t>镇中心幼儿园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南京市鼓楼区天福园幼儿园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r w:rsidRPr="00345499">
              <w:rPr>
                <w:color w:val="000000"/>
                <w:kern w:val="0"/>
                <w:sz w:val="22"/>
              </w:rPr>
              <w:t>南京市栖霞区西岗幼儿园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5"/>
        </w:trPr>
        <w:tc>
          <w:tcPr>
            <w:tcW w:w="976" w:type="dxa"/>
            <w:vMerge w:val="restart"/>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无锡</w:t>
            </w: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4"/>
              </w:rPr>
            </w:pPr>
            <w:r w:rsidRPr="00345499">
              <w:rPr>
                <w:color w:val="000000"/>
                <w:kern w:val="0"/>
                <w:sz w:val="22"/>
              </w:rPr>
              <w:t>无锡市马山中心幼儿园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良好</w:t>
            </w:r>
          </w:p>
        </w:tc>
      </w:tr>
      <w:tr w:rsidR="005B78E0" w:rsidRPr="00345499" w:rsidTr="00D94C8F">
        <w:trPr>
          <w:trHeight w:val="420"/>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4"/>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4"/>
              </w:rPr>
            </w:pPr>
            <w:r w:rsidRPr="00345499">
              <w:rPr>
                <w:color w:val="000000"/>
                <w:kern w:val="0"/>
                <w:sz w:val="22"/>
              </w:rPr>
              <w:t>无锡市古运河实验幼儿园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良好</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r>
      <w:tr w:rsidR="005B78E0" w:rsidRPr="00345499" w:rsidTr="00D94C8F">
        <w:trPr>
          <w:trHeight w:val="405"/>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4"/>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4"/>
              </w:rPr>
            </w:pPr>
            <w:r w:rsidRPr="00345499">
              <w:rPr>
                <w:color w:val="000000"/>
                <w:kern w:val="0"/>
                <w:sz w:val="22"/>
              </w:rPr>
              <w:t>无锡市侨谊幼儿园金科园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r>
      <w:tr w:rsidR="005B78E0" w:rsidRPr="00345499" w:rsidTr="00D94C8F">
        <w:trPr>
          <w:trHeight w:val="420"/>
        </w:trPr>
        <w:tc>
          <w:tcPr>
            <w:tcW w:w="976" w:type="dxa"/>
            <w:vMerge/>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4"/>
              </w:rPr>
            </w:pPr>
          </w:p>
        </w:tc>
        <w:tc>
          <w:tcPr>
            <w:tcW w:w="3570" w:type="dxa"/>
            <w:tcBorders>
              <w:top w:val="nil"/>
              <w:left w:val="nil"/>
              <w:bottom w:val="single" w:sz="4" w:space="0" w:color="auto"/>
              <w:right w:val="single" w:sz="4" w:space="0" w:color="auto"/>
            </w:tcBorders>
            <w:vAlign w:val="center"/>
          </w:tcPr>
          <w:p w:rsidR="005B78E0" w:rsidRPr="00345499" w:rsidRDefault="005B78E0" w:rsidP="00D94C8F">
            <w:pPr>
              <w:widowControl/>
              <w:rPr>
                <w:color w:val="000000"/>
                <w:kern w:val="0"/>
                <w:sz w:val="24"/>
              </w:rPr>
            </w:pPr>
            <w:r w:rsidRPr="00345499">
              <w:rPr>
                <w:color w:val="000000"/>
                <w:kern w:val="0"/>
                <w:sz w:val="22"/>
              </w:rPr>
              <w:t>江阴市云</w:t>
            </w:r>
            <w:proofErr w:type="gramStart"/>
            <w:r w:rsidRPr="00345499">
              <w:rPr>
                <w:color w:val="000000"/>
                <w:kern w:val="0"/>
                <w:sz w:val="22"/>
              </w:rPr>
              <w:t>亭中心</w:t>
            </w:r>
            <w:proofErr w:type="gramEnd"/>
            <w:r w:rsidRPr="00345499">
              <w:rPr>
                <w:color w:val="000000"/>
                <w:kern w:val="0"/>
                <w:sz w:val="22"/>
              </w:rPr>
              <w:t>幼儿园</w:t>
            </w:r>
          </w:p>
        </w:tc>
        <w:tc>
          <w:tcPr>
            <w:tcW w:w="2100" w:type="dxa"/>
            <w:tcBorders>
              <w:top w:val="nil"/>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c>
          <w:tcPr>
            <w:tcW w:w="1980" w:type="dxa"/>
            <w:tcBorders>
              <w:top w:val="nil"/>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4"/>
              </w:rPr>
            </w:pPr>
            <w:r w:rsidRPr="00345499">
              <w:rPr>
                <w:color w:val="000000"/>
                <w:kern w:val="0"/>
                <w:sz w:val="22"/>
              </w:rPr>
              <w:t>优秀</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徐州</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徐州市鼓楼区飞扬幼儿园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徐州市星光实验幼儿园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徐州开发区金桥艺星幼儿园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徐州市云龙区</w:t>
            </w:r>
            <w:proofErr w:type="gramStart"/>
            <w:r w:rsidRPr="00345499">
              <w:rPr>
                <w:color w:val="000000"/>
                <w:kern w:val="0"/>
                <w:sz w:val="22"/>
              </w:rPr>
              <w:t>孙店教育</w:t>
            </w:r>
            <w:proofErr w:type="gramEnd"/>
            <w:r w:rsidRPr="00345499">
              <w:rPr>
                <w:color w:val="000000"/>
                <w:kern w:val="0"/>
                <w:sz w:val="22"/>
              </w:rPr>
              <w:t>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徐州市</w:t>
            </w:r>
            <w:proofErr w:type="gramStart"/>
            <w:r w:rsidRPr="00345499">
              <w:rPr>
                <w:color w:val="000000"/>
                <w:kern w:val="0"/>
                <w:sz w:val="22"/>
              </w:rPr>
              <w:t>铜山区</w:t>
            </w:r>
            <w:proofErr w:type="gramEnd"/>
            <w:r w:rsidRPr="00345499">
              <w:rPr>
                <w:color w:val="000000"/>
                <w:kern w:val="0"/>
                <w:sz w:val="22"/>
              </w:rPr>
              <w:t>三堡镇中心幼儿园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常州</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金坛区指前镇中心幼儿园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新北区奔牛实验幼儿园金牛分园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r w:rsidRPr="00345499">
              <w:rPr>
                <w:color w:val="000000"/>
                <w:kern w:val="0"/>
                <w:sz w:val="22"/>
              </w:rPr>
              <w:t>溧阳市东升实验幼儿园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苏州</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张家港市凤凰中心幼儿园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proofErr w:type="gramStart"/>
            <w:r w:rsidRPr="00345499">
              <w:rPr>
                <w:color w:val="000000"/>
                <w:kern w:val="0"/>
                <w:sz w:val="22"/>
              </w:rPr>
              <w:t>汾</w:t>
            </w:r>
            <w:proofErr w:type="gramEnd"/>
            <w:r w:rsidRPr="00345499">
              <w:rPr>
                <w:color w:val="000000"/>
                <w:kern w:val="0"/>
                <w:sz w:val="22"/>
              </w:rPr>
              <w:t>湖高新技术开发区实验幼儿园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苏州高新区阳山实验幼儿园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常熟市崇文幼儿园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r w:rsidRPr="00345499">
              <w:rPr>
                <w:color w:val="000000"/>
                <w:kern w:val="0"/>
                <w:sz w:val="22"/>
              </w:rPr>
              <w:t>太仓市</w:t>
            </w:r>
            <w:proofErr w:type="gramStart"/>
            <w:r w:rsidRPr="00345499">
              <w:rPr>
                <w:color w:val="000000"/>
                <w:kern w:val="0"/>
                <w:sz w:val="22"/>
              </w:rPr>
              <w:t>浏</w:t>
            </w:r>
            <w:proofErr w:type="gramEnd"/>
            <w:r w:rsidRPr="00345499">
              <w:rPr>
                <w:color w:val="000000"/>
                <w:kern w:val="0"/>
                <w:sz w:val="22"/>
              </w:rPr>
              <w:t>河幼教中心明德幼儿园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南通</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南通市学田幼儿园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海门市四甲幼儿园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如皋市下原镇中心幼儿园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r w:rsidRPr="00345499">
              <w:rPr>
                <w:color w:val="000000"/>
                <w:kern w:val="0"/>
                <w:sz w:val="22"/>
              </w:rPr>
              <w:t>海安县曲塘镇中心幼儿园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b/>
                <w:bCs/>
                <w:color w:val="000000"/>
                <w:kern w:val="0"/>
                <w:sz w:val="24"/>
              </w:rPr>
              <w:t>市别</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b/>
                <w:bCs/>
                <w:color w:val="000000"/>
                <w:kern w:val="0"/>
                <w:sz w:val="24"/>
              </w:rPr>
              <w:t>幼儿园名称</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b/>
                <w:bCs/>
                <w:color w:val="000000"/>
                <w:kern w:val="0"/>
                <w:sz w:val="24"/>
              </w:rPr>
              <w:t>课程实施等级</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b/>
                <w:bCs/>
                <w:color w:val="000000"/>
                <w:kern w:val="0"/>
                <w:sz w:val="24"/>
              </w:rPr>
              <w:t>办学条件等级</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连云港</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连云港市塔山中心幼儿园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灌南县三口镇中心幼儿园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连云区海州湾中心幼儿园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淮安</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淮安市清河幼儿园清河新区分园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淮安市淮阴区樱花幼儿园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盱眙县铁</w:t>
            </w:r>
            <w:proofErr w:type="gramStart"/>
            <w:r w:rsidRPr="00345499">
              <w:rPr>
                <w:color w:val="000000"/>
                <w:kern w:val="0"/>
                <w:sz w:val="22"/>
              </w:rPr>
              <w:t>佛中心</w:t>
            </w:r>
            <w:proofErr w:type="gramEnd"/>
            <w:r w:rsidRPr="00345499">
              <w:rPr>
                <w:color w:val="000000"/>
                <w:kern w:val="0"/>
                <w:sz w:val="22"/>
              </w:rPr>
              <w:t>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盐城</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建湖县教师发展中心附属幼儿园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不合格</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阜宁县陈良镇实验幼儿园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射阳县海河镇实验幼儿园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大丰区万盈镇第二中心幼儿园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扬州</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扬州市</w:t>
            </w:r>
            <w:proofErr w:type="gramStart"/>
            <w:r w:rsidRPr="00345499">
              <w:rPr>
                <w:color w:val="000000"/>
                <w:kern w:val="0"/>
                <w:sz w:val="22"/>
              </w:rPr>
              <w:t>广陵区杉湾幼儿园</w:t>
            </w:r>
            <w:proofErr w:type="gramEnd"/>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扬州市</w:t>
            </w:r>
            <w:proofErr w:type="gramStart"/>
            <w:r w:rsidRPr="00345499">
              <w:rPr>
                <w:color w:val="000000"/>
                <w:kern w:val="0"/>
                <w:sz w:val="22"/>
              </w:rPr>
              <w:t>邗江区</w:t>
            </w:r>
            <w:proofErr w:type="gramEnd"/>
            <w:r w:rsidRPr="00345499">
              <w:rPr>
                <w:color w:val="000000"/>
                <w:kern w:val="0"/>
                <w:sz w:val="22"/>
              </w:rPr>
              <w:t>实验幼儿园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仪征市新城镇中心幼儿园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镇江</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丹阳</w:t>
            </w:r>
            <w:proofErr w:type="gramStart"/>
            <w:r w:rsidRPr="00345499">
              <w:rPr>
                <w:color w:val="000000"/>
                <w:kern w:val="0"/>
                <w:sz w:val="22"/>
              </w:rPr>
              <w:t>市胡桥</w:t>
            </w:r>
            <w:proofErr w:type="gramEnd"/>
            <w:r w:rsidRPr="00345499">
              <w:rPr>
                <w:color w:val="000000"/>
                <w:kern w:val="0"/>
                <w:sz w:val="22"/>
              </w:rPr>
              <w:t>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镇江市润州区凤凰家园幼儿园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泰州</w:t>
            </w: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泰州市</w:t>
            </w:r>
            <w:proofErr w:type="gramStart"/>
            <w:r w:rsidRPr="00345499">
              <w:rPr>
                <w:color w:val="000000"/>
                <w:kern w:val="0"/>
                <w:sz w:val="22"/>
              </w:rPr>
              <w:t>许庄中心</w:t>
            </w:r>
            <w:proofErr w:type="gramEnd"/>
            <w:r w:rsidRPr="00345499">
              <w:rPr>
                <w:color w:val="000000"/>
                <w:kern w:val="0"/>
                <w:sz w:val="22"/>
              </w:rPr>
              <w:t>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姜堰区张沐幼儿园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泰兴市古溪镇中心幼儿园</w:t>
            </w:r>
          </w:p>
        </w:tc>
        <w:tc>
          <w:tcPr>
            <w:tcW w:w="2100" w:type="dxa"/>
            <w:tcBorders>
              <w:top w:val="single" w:sz="4" w:space="0" w:color="auto"/>
              <w:left w:val="nil"/>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合格</w:t>
            </w:r>
          </w:p>
        </w:tc>
      </w:tr>
      <w:tr w:rsidR="005B78E0" w:rsidRPr="00345499" w:rsidTr="00D94C8F">
        <w:trPr>
          <w:trHeight w:val="402"/>
        </w:trPr>
        <w:tc>
          <w:tcPr>
            <w:tcW w:w="976" w:type="dxa"/>
            <w:vMerge w:val="restart"/>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宿迁</w:t>
            </w:r>
          </w:p>
        </w:tc>
        <w:tc>
          <w:tcPr>
            <w:tcW w:w="357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rPr>
                <w:color w:val="000000"/>
                <w:kern w:val="0"/>
                <w:sz w:val="22"/>
              </w:rPr>
            </w:pPr>
            <w:r w:rsidRPr="00345499">
              <w:rPr>
                <w:color w:val="000000"/>
                <w:kern w:val="0"/>
                <w:sz w:val="22"/>
              </w:rPr>
              <w:t>沭阳县</w:t>
            </w:r>
            <w:proofErr w:type="gramStart"/>
            <w:r w:rsidRPr="00345499">
              <w:rPr>
                <w:color w:val="000000"/>
                <w:kern w:val="0"/>
                <w:sz w:val="22"/>
              </w:rPr>
              <w:t>沭</w:t>
            </w:r>
            <w:proofErr w:type="gramEnd"/>
            <w:r w:rsidRPr="00345499">
              <w:rPr>
                <w:color w:val="000000"/>
                <w:kern w:val="0"/>
                <w:sz w:val="22"/>
              </w:rPr>
              <w:t>城镇祥和幼儿园</w:t>
            </w:r>
          </w:p>
        </w:tc>
        <w:tc>
          <w:tcPr>
            <w:tcW w:w="210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良好</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color w:val="000000"/>
                <w:kern w:val="0"/>
                <w:sz w:val="22"/>
              </w:rPr>
            </w:pPr>
            <w:r w:rsidRPr="00345499">
              <w:rPr>
                <w:color w:val="000000"/>
                <w:kern w:val="0"/>
                <w:sz w:val="22"/>
              </w:rPr>
              <w:t>优秀</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rPr>
                <w:rFonts w:eastAsia="Times New Roman"/>
                <w:kern w:val="0"/>
                <w:sz w:val="20"/>
                <w:szCs w:val="20"/>
              </w:rPr>
            </w:pPr>
            <w:r w:rsidRPr="00345499">
              <w:rPr>
                <w:color w:val="000000"/>
                <w:kern w:val="0"/>
                <w:sz w:val="22"/>
              </w:rPr>
              <w:t>宿迁市宿城区王官集中心幼儿园</w:t>
            </w:r>
          </w:p>
        </w:tc>
        <w:tc>
          <w:tcPr>
            <w:tcW w:w="210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rFonts w:eastAsia="Times New Roman"/>
                <w:kern w:val="0"/>
                <w:sz w:val="20"/>
                <w:szCs w:val="20"/>
              </w:rPr>
            </w:pPr>
            <w:r w:rsidRPr="00345499">
              <w:rPr>
                <w:color w:val="000000"/>
                <w:kern w:val="0"/>
                <w:sz w:val="22"/>
              </w:rPr>
              <w:t>合格</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pPr>
            <w:r w:rsidRPr="00345499">
              <w:rPr>
                <w:color w:val="000000"/>
                <w:kern w:val="0"/>
                <w:sz w:val="22"/>
              </w:rPr>
              <w:t>良好</w:t>
            </w:r>
          </w:p>
        </w:tc>
      </w:tr>
      <w:tr w:rsidR="005B78E0" w:rsidRPr="00345499" w:rsidTr="00D94C8F">
        <w:trPr>
          <w:trHeight w:val="402"/>
        </w:trPr>
        <w:tc>
          <w:tcPr>
            <w:tcW w:w="976" w:type="dxa"/>
            <w:vMerge/>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left"/>
              <w:rPr>
                <w:color w:val="000000"/>
                <w:kern w:val="0"/>
                <w:sz w:val="22"/>
              </w:rPr>
            </w:pPr>
          </w:p>
        </w:tc>
        <w:tc>
          <w:tcPr>
            <w:tcW w:w="357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rPr>
                <w:rFonts w:eastAsia="Times New Roman"/>
                <w:kern w:val="0"/>
                <w:sz w:val="20"/>
                <w:szCs w:val="20"/>
              </w:rPr>
            </w:pPr>
            <w:r w:rsidRPr="00345499">
              <w:rPr>
                <w:color w:val="000000"/>
                <w:kern w:val="0"/>
                <w:sz w:val="22"/>
              </w:rPr>
              <w:t>宿迁市湖滨</w:t>
            </w:r>
            <w:proofErr w:type="gramStart"/>
            <w:r w:rsidRPr="00345499">
              <w:rPr>
                <w:color w:val="000000"/>
                <w:kern w:val="0"/>
                <w:sz w:val="22"/>
              </w:rPr>
              <w:t>新区皂河二</w:t>
            </w:r>
            <w:proofErr w:type="gramEnd"/>
            <w:r w:rsidRPr="00345499">
              <w:rPr>
                <w:color w:val="000000"/>
                <w:kern w:val="0"/>
                <w:sz w:val="22"/>
              </w:rPr>
              <w:t>小幼儿园</w:t>
            </w:r>
          </w:p>
        </w:tc>
        <w:tc>
          <w:tcPr>
            <w:tcW w:w="210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rPr>
                <w:rFonts w:eastAsia="Times New Roman"/>
                <w:kern w:val="0"/>
                <w:sz w:val="20"/>
                <w:szCs w:val="20"/>
              </w:rPr>
            </w:pPr>
            <w:r w:rsidRPr="00345499">
              <w:rPr>
                <w:color w:val="000000"/>
                <w:kern w:val="0"/>
                <w:sz w:val="22"/>
              </w:rPr>
              <w:t>优秀</w:t>
            </w:r>
          </w:p>
        </w:tc>
        <w:tc>
          <w:tcPr>
            <w:tcW w:w="1980" w:type="dxa"/>
            <w:tcBorders>
              <w:top w:val="single" w:sz="4" w:space="0" w:color="auto"/>
              <w:left w:val="single" w:sz="4" w:space="0" w:color="auto"/>
              <w:bottom w:val="single" w:sz="4" w:space="0" w:color="auto"/>
              <w:right w:val="single" w:sz="4" w:space="0" w:color="auto"/>
            </w:tcBorders>
            <w:vAlign w:val="center"/>
          </w:tcPr>
          <w:p w:rsidR="005B78E0" w:rsidRPr="00345499" w:rsidRDefault="005B78E0" w:rsidP="00D94C8F">
            <w:pPr>
              <w:widowControl/>
              <w:jc w:val="center"/>
            </w:pPr>
            <w:r w:rsidRPr="00345499">
              <w:rPr>
                <w:color w:val="000000"/>
                <w:kern w:val="0"/>
                <w:sz w:val="22"/>
              </w:rPr>
              <w:t>良好</w:t>
            </w:r>
          </w:p>
        </w:tc>
      </w:tr>
    </w:tbl>
    <w:p w:rsidR="005B78E0" w:rsidRPr="00345499" w:rsidRDefault="005B78E0" w:rsidP="005B78E0">
      <w:pPr>
        <w:spacing w:line="560" w:lineRule="exact"/>
        <w:ind w:leftChars="760" w:left="1596"/>
        <w:rPr>
          <w:rFonts w:eastAsia="仿宋_GB2312"/>
          <w:sz w:val="32"/>
          <w:szCs w:val="32"/>
        </w:rPr>
      </w:pPr>
    </w:p>
    <w:p w:rsidR="005B78E0" w:rsidRPr="00345499" w:rsidRDefault="005B78E0" w:rsidP="005B78E0">
      <w:pPr>
        <w:spacing w:line="560" w:lineRule="exact"/>
        <w:ind w:leftChars="760" w:left="1596"/>
        <w:rPr>
          <w:rFonts w:eastAsia="仿宋_GB2312"/>
          <w:sz w:val="32"/>
          <w:szCs w:val="32"/>
        </w:rPr>
      </w:pPr>
    </w:p>
    <w:p w:rsidR="005B78E0" w:rsidRPr="00345499" w:rsidRDefault="005B78E0" w:rsidP="005B78E0"/>
    <w:p w:rsidR="005B78E0" w:rsidRPr="00345499" w:rsidRDefault="005B78E0" w:rsidP="005B78E0"/>
    <w:p w:rsidR="005B78E0" w:rsidRPr="00345499" w:rsidRDefault="005B78E0" w:rsidP="005B78E0"/>
    <w:p w:rsidR="005B78E0" w:rsidRPr="00345499" w:rsidRDefault="005B78E0" w:rsidP="005B78E0"/>
    <w:p w:rsidR="00CA25A9" w:rsidRDefault="00CA25A9"/>
    <w:sectPr w:rsidR="00CA25A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594E1D"/>
    <w:multiLevelType w:val="multilevel"/>
    <w:tmpl w:val="31594E1D"/>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572E3CE1"/>
    <w:multiLevelType w:val="multilevel"/>
    <w:tmpl w:val="572E3CE1"/>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8E0"/>
    <w:rsid w:val="005B78E0"/>
    <w:rsid w:val="00CA25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78E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B78E0"/>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78E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B78E0"/>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898</Words>
  <Characters>5124</Characters>
  <Application>Microsoft Office Word</Application>
  <DocSecurity>0</DocSecurity>
  <Lines>42</Lines>
  <Paragraphs>12</Paragraphs>
  <ScaleCrop>false</ScaleCrop>
  <Company>JSJYT</Company>
  <LinksUpToDate>false</LinksUpToDate>
  <CharactersWithSpaces>6010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2018-06-07T02:02:00Z</dcterms:created>
  <dcterms:modified xsi:type="dcterms:W3CDTF">2018-06-07T02:02:00Z</dcterms:modified>
</cp:coreProperties>
</file>